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1541" w:rsidRPr="003A4E1A" w:rsidRDefault="00BC1541" w:rsidP="00BC1541">
      <w:pPr>
        <w:jc w:val="center"/>
        <w:rPr>
          <w:rFonts w:ascii="Georgia" w:eastAsia="Times New Roman" w:hAnsi="Georgia" w:cs="Times New Roman"/>
        </w:rPr>
      </w:pPr>
      <w:r w:rsidRPr="003A4E1A">
        <w:rPr>
          <w:rFonts w:ascii="Georgia" w:hAnsi="Georgia"/>
          <w:noProof/>
        </w:rPr>
        <w:drawing>
          <wp:inline distT="0" distB="0" distL="0" distR="0">
            <wp:extent cx="3810000" cy="885825"/>
            <wp:effectExtent l="0" t="0" r="0" b="9525"/>
            <wp:docPr id="23" name="Picture 23" descr="https://www.yokoreikanokimura.com/wpen/wp-content/uploads/2017/11/logo1_2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yokoreikanokimura.com/wpen/wp-content/uploads/2017/11/logo1_2_3.jpg"/>
                    <pic:cNvPicPr>
                      <a:picLocks noChangeAspect="1" noChangeArrowheads="1"/>
                    </pic:cNvPicPr>
                  </pic:nvPicPr>
                  <pic:blipFill rotWithShape="1">
                    <a:blip r:embed="rId7">
                      <a:extLst>
                        <a:ext uri="{28A0092B-C50C-407E-A947-70E740481C1C}">
                          <a14:useLocalDpi xmlns:a14="http://schemas.microsoft.com/office/drawing/2010/main" val="0"/>
                        </a:ext>
                      </a:extLst>
                    </a:blip>
                    <a:srcRect t="34832" b="30337"/>
                    <a:stretch/>
                  </pic:blipFill>
                  <pic:spPr bwMode="auto">
                    <a:xfrm>
                      <a:off x="0" y="0"/>
                      <a:ext cx="3810000" cy="885825"/>
                    </a:xfrm>
                    <a:prstGeom prst="rect">
                      <a:avLst/>
                    </a:prstGeom>
                    <a:noFill/>
                    <a:ln>
                      <a:noFill/>
                    </a:ln>
                    <a:extLst>
                      <a:ext uri="{53640926-AAD7-44D8-BBD7-CCE9431645EC}">
                        <a14:shadowObscured xmlns:a14="http://schemas.microsoft.com/office/drawing/2010/main"/>
                      </a:ext>
                    </a:extLst>
                  </pic:spPr>
                </pic:pic>
              </a:graphicData>
            </a:graphic>
          </wp:inline>
        </w:drawing>
      </w:r>
    </w:p>
    <w:p w:rsidR="00BC1541" w:rsidRPr="003A4E1A" w:rsidRDefault="00BC1541" w:rsidP="00BC1541">
      <w:pPr>
        <w:jc w:val="center"/>
        <w:rPr>
          <w:rFonts w:ascii="Georgia" w:eastAsia="Times New Roman" w:hAnsi="Georgia" w:cs="Times New Roman"/>
          <w:sz w:val="22"/>
          <w:szCs w:val="22"/>
        </w:rPr>
      </w:pPr>
      <w:r w:rsidRPr="003A4E1A">
        <w:rPr>
          <w:rFonts w:ascii="Georgia" w:eastAsia="Times New Roman" w:hAnsi="Georgia" w:cs="Times New Roman"/>
          <w:sz w:val="22"/>
          <w:szCs w:val="22"/>
        </w:rPr>
        <w:t>March 19, 2018</w:t>
      </w:r>
    </w:p>
    <w:p w:rsidR="00BC1541" w:rsidRPr="003A4E1A" w:rsidRDefault="00BC1541" w:rsidP="00BC1541">
      <w:pPr>
        <w:jc w:val="center"/>
        <w:rPr>
          <w:rFonts w:ascii="Georgia" w:eastAsia="Times New Roman" w:hAnsi="Georgia" w:cs="Times New Roman"/>
        </w:rPr>
      </w:pPr>
    </w:p>
    <w:p w:rsidR="00BC1541" w:rsidRPr="00BC1541" w:rsidRDefault="00BC1541" w:rsidP="00BC1541">
      <w:pPr>
        <w:rPr>
          <w:rFonts w:ascii="Georgia" w:eastAsia="Times New Roman" w:hAnsi="Georgia" w:cs="Times New Roman"/>
          <w:b/>
          <w:sz w:val="32"/>
          <w:szCs w:val="32"/>
        </w:rPr>
      </w:pPr>
      <w:r w:rsidRPr="003A4E1A">
        <w:rPr>
          <w:rFonts w:ascii="Georgia" w:eastAsia="Times New Roman" w:hAnsi="Georgia" w:cs="Times New Roman"/>
          <w:b/>
          <w:sz w:val="32"/>
          <w:szCs w:val="32"/>
        </w:rPr>
        <w:t xml:space="preserve">Chamber Music Society, </w:t>
      </w:r>
      <w:proofErr w:type="spellStart"/>
      <w:r w:rsidRPr="003A4E1A">
        <w:rPr>
          <w:rFonts w:ascii="Georgia" w:eastAsia="Times New Roman" w:hAnsi="Georgia" w:cs="Times New Roman"/>
          <w:b/>
          <w:sz w:val="32"/>
          <w:szCs w:val="32"/>
        </w:rPr>
        <w:t>Miró</w:t>
      </w:r>
      <w:proofErr w:type="spellEnd"/>
      <w:r w:rsidRPr="003A4E1A">
        <w:rPr>
          <w:rFonts w:ascii="Georgia" w:eastAsia="Times New Roman" w:hAnsi="Georgia" w:cs="Times New Roman"/>
          <w:b/>
          <w:sz w:val="32"/>
          <w:szCs w:val="32"/>
        </w:rPr>
        <w:t xml:space="preserve"> Quartet party like </w:t>
      </w:r>
      <w:proofErr w:type="gramStart"/>
      <w:r w:rsidRPr="003A4E1A">
        <w:rPr>
          <w:rFonts w:ascii="Georgia" w:eastAsia="Times New Roman" w:hAnsi="Georgia" w:cs="Times New Roman"/>
          <w:b/>
          <w:sz w:val="32"/>
          <w:szCs w:val="32"/>
        </w:rPr>
        <w:t>it’s</w:t>
      </w:r>
      <w:proofErr w:type="gramEnd"/>
      <w:r w:rsidRPr="003A4E1A">
        <w:rPr>
          <w:rFonts w:ascii="Georgia" w:eastAsia="Times New Roman" w:hAnsi="Georgia" w:cs="Times New Roman"/>
          <w:b/>
          <w:sz w:val="32"/>
          <w:szCs w:val="32"/>
        </w:rPr>
        <w:t xml:space="preserve"> 1825</w:t>
      </w:r>
    </w:p>
    <w:p w:rsidR="003A4E1A" w:rsidRPr="003A4E1A" w:rsidRDefault="003A4E1A" w:rsidP="00BC1541">
      <w:pPr>
        <w:rPr>
          <w:rFonts w:ascii="Georgia" w:eastAsia="Times New Roman" w:hAnsi="Georgia" w:cs="Times New Roman"/>
          <w:sz w:val="22"/>
          <w:szCs w:val="22"/>
        </w:rPr>
      </w:pPr>
    </w:p>
    <w:p w:rsidR="00BC1541" w:rsidRPr="00BC1541" w:rsidRDefault="00BC1541" w:rsidP="00BC1541">
      <w:pPr>
        <w:rPr>
          <w:rFonts w:ascii="Georgia" w:eastAsia="Times New Roman" w:hAnsi="Georgia" w:cs="Times New Roman"/>
          <w:sz w:val="22"/>
          <w:szCs w:val="22"/>
        </w:rPr>
      </w:pPr>
      <w:r w:rsidRPr="00BC1541">
        <w:rPr>
          <w:rFonts w:ascii="Georgia" w:eastAsia="Times New Roman" w:hAnsi="Georgia" w:cs="Times New Roman"/>
          <w:sz w:val="22"/>
          <w:szCs w:val="22"/>
        </w:rPr>
        <w:t xml:space="preserve">By </w:t>
      </w:r>
      <w:hyperlink r:id="rId8" w:tooltip="Posts by David Wright" w:history="1">
        <w:r w:rsidRPr="00BC1541">
          <w:rPr>
            <w:rFonts w:ascii="Georgia" w:eastAsia="Times New Roman" w:hAnsi="Georgia" w:cs="Times New Roman"/>
            <w:color w:val="0000FF"/>
            <w:sz w:val="22"/>
            <w:szCs w:val="22"/>
            <w:u w:val="single"/>
          </w:rPr>
          <w:t>David Wright</w:t>
        </w:r>
      </w:hyperlink>
      <w:r w:rsidRPr="00BC1541">
        <w:rPr>
          <w:rFonts w:ascii="Georgia" w:eastAsia="Times New Roman" w:hAnsi="Georgia" w:cs="Times New Roman"/>
          <w:sz w:val="22"/>
          <w:szCs w:val="22"/>
        </w:rPr>
        <w:t xml:space="preserve"> </w:t>
      </w:r>
    </w:p>
    <w:p w:rsidR="00BC1541" w:rsidRPr="003A4E1A" w:rsidRDefault="00BC1541" w:rsidP="00BC1541">
      <w:pPr>
        <w:rPr>
          <w:rFonts w:ascii="Georgia" w:eastAsia="Times New Roman" w:hAnsi="Georgia" w:cs="Times New Roman"/>
          <w:noProof/>
          <w:sz w:val="22"/>
          <w:szCs w:val="22"/>
        </w:rPr>
      </w:pPr>
    </w:p>
    <w:p w:rsidR="00BC1541" w:rsidRPr="00BC1541" w:rsidRDefault="00BC1541" w:rsidP="00BC1541">
      <w:pPr>
        <w:rPr>
          <w:rFonts w:ascii="Georgia" w:eastAsia="Times New Roman" w:hAnsi="Georgia" w:cs="Times New Roman"/>
        </w:rPr>
      </w:pPr>
      <w:r w:rsidRPr="00BC1541">
        <w:rPr>
          <w:rFonts w:ascii="Georgia" w:eastAsia="Times New Roman" w:hAnsi="Georgia" w:cs="Times New Roman"/>
          <w:noProof/>
        </w:rPr>
        <w:drawing>
          <wp:inline distT="0" distB="0" distL="0" distR="0" wp14:anchorId="71F68AC1" wp14:editId="1A35F9B7">
            <wp:extent cx="5934075" cy="3967550"/>
            <wp:effectExtent l="0" t="0" r="0" b="0"/>
            <wp:docPr id="1" name="Picture 1" descr="The Miro Quartet performed at the Chamber Music Society of Lincoln Center concert Sunday at Alice Tully Hall. Photo: Tristan Co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Miro Quartet performed at the Chamber Music Society of Lincoln Center concert Sunday at Alice Tully Hall. Photo: Tristan Cook"/>
                    <pic:cNvPicPr>
                      <a:picLocks noChangeAspect="1" noChangeArrowheads="1"/>
                    </pic:cNvPicPr>
                  </pic:nvPicPr>
                  <pic:blipFill rotWithShape="1">
                    <a:blip r:embed="rId9" cstate="print"/>
                    <a:srcRect b="25687"/>
                    <a:stretch/>
                  </pic:blipFill>
                  <pic:spPr bwMode="auto">
                    <a:xfrm>
                      <a:off x="0" y="0"/>
                      <a:ext cx="5941363" cy="3972423"/>
                    </a:xfrm>
                    <a:prstGeom prst="rect">
                      <a:avLst/>
                    </a:prstGeom>
                    <a:noFill/>
                    <a:ln>
                      <a:noFill/>
                    </a:ln>
                    <a:extLst>
                      <a:ext uri="{53640926-AAD7-44D8-BBD7-CCE9431645EC}">
                        <a14:shadowObscured xmlns:a14="http://schemas.microsoft.com/office/drawing/2010/main"/>
                      </a:ext>
                    </a:extLst>
                  </pic:spPr>
                </pic:pic>
              </a:graphicData>
            </a:graphic>
          </wp:inline>
        </w:drawing>
      </w:r>
    </w:p>
    <w:p w:rsidR="00BC1541" w:rsidRPr="00BC1541" w:rsidRDefault="00BC1541" w:rsidP="00BC1541">
      <w:pPr>
        <w:rPr>
          <w:rFonts w:ascii="Georgia" w:eastAsia="Times New Roman" w:hAnsi="Georgia" w:cs="Times New Roman"/>
          <w:sz w:val="16"/>
          <w:szCs w:val="16"/>
        </w:rPr>
      </w:pPr>
      <w:r w:rsidRPr="00BC1541">
        <w:rPr>
          <w:rFonts w:ascii="Georgia" w:eastAsia="Times New Roman" w:hAnsi="Georgia" w:cs="Times New Roman"/>
          <w:sz w:val="16"/>
          <w:szCs w:val="16"/>
        </w:rPr>
        <w:t xml:space="preserve">The </w:t>
      </w:r>
      <w:proofErr w:type="spellStart"/>
      <w:r w:rsidRPr="00BC1541">
        <w:rPr>
          <w:rFonts w:ascii="Georgia" w:eastAsia="Times New Roman" w:hAnsi="Georgia" w:cs="Times New Roman"/>
          <w:sz w:val="16"/>
          <w:szCs w:val="16"/>
        </w:rPr>
        <w:t>Miró</w:t>
      </w:r>
      <w:proofErr w:type="spellEnd"/>
      <w:r w:rsidRPr="00BC1541">
        <w:rPr>
          <w:rFonts w:ascii="Georgia" w:eastAsia="Times New Roman" w:hAnsi="Georgia" w:cs="Times New Roman"/>
          <w:sz w:val="16"/>
          <w:szCs w:val="16"/>
        </w:rPr>
        <w:t xml:space="preserve"> Quartet performed in the Chamber Music Society of Lincoln Center concert Sunday at Alice Tully Hall. Photo: Tristan Cook</w:t>
      </w:r>
    </w:p>
    <w:p w:rsidR="00BC1541" w:rsidRPr="00BC1541" w:rsidRDefault="00BC1541" w:rsidP="00BC1541">
      <w:pPr>
        <w:spacing w:before="100" w:beforeAutospacing="1" w:after="100" w:afterAutospacing="1"/>
        <w:rPr>
          <w:rFonts w:ascii="Georgia" w:eastAsia="Times New Roman" w:hAnsi="Georgia" w:cs="Times New Roman"/>
          <w:sz w:val="22"/>
          <w:szCs w:val="22"/>
        </w:rPr>
      </w:pPr>
      <w:r w:rsidRPr="00BC1541">
        <w:rPr>
          <w:rFonts w:ascii="Georgia" w:eastAsia="Times New Roman" w:hAnsi="Georgia" w:cs="Times New Roman"/>
          <w:sz w:val="22"/>
          <w:szCs w:val="22"/>
        </w:rPr>
        <w:t xml:space="preserve">Sunday in Alice Tully Hall, the Chamber Music Society of Lincoln Center and guest artists the </w:t>
      </w:r>
      <w:proofErr w:type="spellStart"/>
      <w:r w:rsidRPr="00BC1541">
        <w:rPr>
          <w:rFonts w:ascii="Georgia" w:eastAsia="Times New Roman" w:hAnsi="Georgia" w:cs="Times New Roman"/>
          <w:sz w:val="22"/>
          <w:szCs w:val="22"/>
        </w:rPr>
        <w:t>Miró</w:t>
      </w:r>
      <w:proofErr w:type="spellEnd"/>
      <w:r w:rsidRPr="00BC1541">
        <w:rPr>
          <w:rFonts w:ascii="Georgia" w:eastAsia="Times New Roman" w:hAnsi="Georgia" w:cs="Times New Roman"/>
          <w:sz w:val="22"/>
          <w:szCs w:val="22"/>
        </w:rPr>
        <w:t xml:space="preserve"> Quartet gave a virtual seminar in how to play chamber music for strings.</w:t>
      </w:r>
    </w:p>
    <w:p w:rsidR="00BC1541" w:rsidRPr="00BC1541" w:rsidRDefault="00BC1541" w:rsidP="00BC1541">
      <w:pPr>
        <w:spacing w:before="100" w:beforeAutospacing="1" w:after="100" w:afterAutospacing="1"/>
        <w:rPr>
          <w:rFonts w:ascii="Georgia" w:eastAsia="Times New Roman" w:hAnsi="Georgia" w:cs="Times New Roman"/>
          <w:sz w:val="22"/>
          <w:szCs w:val="22"/>
        </w:rPr>
      </w:pPr>
      <w:r w:rsidRPr="00BC1541">
        <w:rPr>
          <w:rFonts w:ascii="Georgia" w:eastAsia="Times New Roman" w:hAnsi="Georgia" w:cs="Times New Roman"/>
          <w:sz w:val="22"/>
          <w:szCs w:val="22"/>
        </w:rPr>
        <w:t>Tight ensemble? Check. Pinpoint intonation? Check. Phrasing as one, down to the smallest detail? Check. Balanced, transparent sonorities? Check and check.</w:t>
      </w:r>
    </w:p>
    <w:p w:rsidR="00BC1541" w:rsidRPr="00BC1541" w:rsidRDefault="00BC1541" w:rsidP="00BC1541">
      <w:pPr>
        <w:spacing w:before="100" w:beforeAutospacing="1" w:after="100" w:afterAutospacing="1"/>
        <w:rPr>
          <w:rFonts w:ascii="Georgia" w:eastAsia="Times New Roman" w:hAnsi="Georgia" w:cs="Times New Roman"/>
          <w:sz w:val="22"/>
          <w:szCs w:val="22"/>
        </w:rPr>
      </w:pPr>
      <w:r w:rsidRPr="00BC1541">
        <w:rPr>
          <w:rFonts w:ascii="Georgia" w:eastAsia="Times New Roman" w:hAnsi="Georgia" w:cs="Times New Roman"/>
          <w:sz w:val="22"/>
          <w:szCs w:val="22"/>
        </w:rPr>
        <w:t xml:space="preserve">And that’s just the technical side. When it came to bar-by-bar insights while keeping the piece’s full arc in view, these performances of a Haydn quartet, a double quartet by Louis </w:t>
      </w:r>
      <w:proofErr w:type="spellStart"/>
      <w:r w:rsidRPr="00BC1541">
        <w:rPr>
          <w:rFonts w:ascii="Georgia" w:eastAsia="Times New Roman" w:hAnsi="Georgia" w:cs="Times New Roman"/>
          <w:sz w:val="22"/>
          <w:szCs w:val="22"/>
        </w:rPr>
        <w:t>Spohr</w:t>
      </w:r>
      <w:proofErr w:type="spellEnd"/>
      <w:r w:rsidRPr="00BC1541">
        <w:rPr>
          <w:rFonts w:ascii="Georgia" w:eastAsia="Times New Roman" w:hAnsi="Georgia" w:cs="Times New Roman"/>
          <w:sz w:val="22"/>
          <w:szCs w:val="22"/>
        </w:rPr>
        <w:t>, and a Beethoven quintet had few peers. </w:t>
      </w:r>
    </w:p>
    <w:p w:rsidR="00BC1541" w:rsidRPr="00BC1541" w:rsidRDefault="00BC1541" w:rsidP="00BC1541">
      <w:pPr>
        <w:spacing w:before="100" w:beforeAutospacing="1" w:after="100" w:afterAutospacing="1"/>
        <w:rPr>
          <w:rFonts w:ascii="Georgia" w:eastAsia="Times New Roman" w:hAnsi="Georgia" w:cs="Times New Roman"/>
          <w:sz w:val="22"/>
          <w:szCs w:val="22"/>
        </w:rPr>
      </w:pPr>
      <w:r w:rsidRPr="00BC1541">
        <w:rPr>
          <w:rFonts w:ascii="Georgia" w:eastAsia="Times New Roman" w:hAnsi="Georgia" w:cs="Times New Roman"/>
          <w:sz w:val="22"/>
          <w:szCs w:val="22"/>
        </w:rPr>
        <w:t xml:space="preserve">Ignaz </w:t>
      </w:r>
      <w:proofErr w:type="spellStart"/>
      <w:r w:rsidRPr="00BC1541">
        <w:rPr>
          <w:rFonts w:ascii="Georgia" w:eastAsia="Times New Roman" w:hAnsi="Georgia" w:cs="Times New Roman"/>
          <w:sz w:val="22"/>
          <w:szCs w:val="22"/>
        </w:rPr>
        <w:t>Schuppanzigh</w:t>
      </w:r>
      <w:proofErr w:type="spellEnd"/>
      <w:r w:rsidRPr="00BC1541">
        <w:rPr>
          <w:rFonts w:ascii="Georgia" w:eastAsia="Times New Roman" w:hAnsi="Georgia" w:cs="Times New Roman"/>
          <w:sz w:val="22"/>
          <w:szCs w:val="22"/>
        </w:rPr>
        <w:t xml:space="preserve"> would have been proud. Sunday’s program was the second in a CMS series titled “Chamber Music Vienna,” recreating four concerts that </w:t>
      </w:r>
      <w:proofErr w:type="spellStart"/>
      <w:r w:rsidRPr="00BC1541">
        <w:rPr>
          <w:rFonts w:ascii="Georgia" w:eastAsia="Times New Roman" w:hAnsi="Georgia" w:cs="Times New Roman"/>
          <w:sz w:val="22"/>
          <w:szCs w:val="22"/>
        </w:rPr>
        <w:t>Schuppanzigh</w:t>
      </w:r>
      <w:proofErr w:type="spellEnd"/>
      <w:r w:rsidRPr="00BC1541">
        <w:rPr>
          <w:rFonts w:ascii="Georgia" w:eastAsia="Times New Roman" w:hAnsi="Georgia" w:cs="Times New Roman"/>
          <w:sz w:val="22"/>
          <w:szCs w:val="22"/>
        </w:rPr>
        <w:t xml:space="preserve">—Beethoven’s </w:t>
      </w:r>
      <w:r w:rsidRPr="00BC1541">
        <w:rPr>
          <w:rFonts w:ascii="Georgia" w:eastAsia="Times New Roman" w:hAnsi="Georgia" w:cs="Times New Roman"/>
          <w:sz w:val="22"/>
          <w:szCs w:val="22"/>
        </w:rPr>
        <w:lastRenderedPageBreak/>
        <w:t>indispensable, unpronounceable violinist during the composer’s entire 35 years in the Austrian capital–presented in or around 1825. </w:t>
      </w:r>
    </w:p>
    <w:p w:rsidR="00BC1541" w:rsidRPr="00BC1541" w:rsidRDefault="00BC1541" w:rsidP="00BC1541">
      <w:pPr>
        <w:spacing w:before="100" w:beforeAutospacing="1" w:after="100" w:afterAutospacing="1"/>
        <w:rPr>
          <w:rFonts w:ascii="Georgia" w:eastAsia="Times New Roman" w:hAnsi="Georgia" w:cs="Times New Roman"/>
          <w:sz w:val="22"/>
          <w:szCs w:val="22"/>
        </w:rPr>
      </w:pPr>
      <w:r w:rsidRPr="00BC1541">
        <w:rPr>
          <w:rFonts w:ascii="Georgia" w:eastAsia="Times New Roman" w:hAnsi="Georgia" w:cs="Times New Roman"/>
          <w:sz w:val="22"/>
          <w:szCs w:val="22"/>
        </w:rPr>
        <w:t xml:space="preserve">In a program note, CMS artistic directors David </w:t>
      </w:r>
      <w:proofErr w:type="spellStart"/>
      <w:r w:rsidRPr="00BC1541">
        <w:rPr>
          <w:rFonts w:ascii="Georgia" w:eastAsia="Times New Roman" w:hAnsi="Georgia" w:cs="Times New Roman"/>
          <w:sz w:val="22"/>
          <w:szCs w:val="22"/>
        </w:rPr>
        <w:t>Finckel</w:t>
      </w:r>
      <w:proofErr w:type="spellEnd"/>
      <w:r w:rsidRPr="00BC1541">
        <w:rPr>
          <w:rFonts w:ascii="Georgia" w:eastAsia="Times New Roman" w:hAnsi="Georgia" w:cs="Times New Roman"/>
          <w:sz w:val="22"/>
          <w:szCs w:val="22"/>
        </w:rPr>
        <w:t xml:space="preserve"> and Wu Han wrote of their feelings of kinship with </w:t>
      </w:r>
      <w:proofErr w:type="spellStart"/>
      <w:r w:rsidRPr="00BC1541">
        <w:rPr>
          <w:rFonts w:ascii="Georgia" w:eastAsia="Times New Roman" w:hAnsi="Georgia" w:cs="Times New Roman"/>
          <w:sz w:val="22"/>
          <w:szCs w:val="22"/>
        </w:rPr>
        <w:t>Schuppanzigh</w:t>
      </w:r>
      <w:proofErr w:type="spellEnd"/>
      <w:r w:rsidRPr="00BC1541">
        <w:rPr>
          <w:rFonts w:ascii="Georgia" w:eastAsia="Times New Roman" w:hAnsi="Georgia" w:cs="Times New Roman"/>
          <w:sz w:val="22"/>
          <w:szCs w:val="22"/>
        </w:rPr>
        <w:t>, who pioneered the public performance of chamber music, formerly a private home activity that rarely ventured outside the family “chambers.”</w:t>
      </w:r>
    </w:p>
    <w:p w:rsidR="00BC1541" w:rsidRPr="00BC1541" w:rsidRDefault="00BC1541" w:rsidP="00674F35">
      <w:pPr>
        <w:spacing w:before="100" w:beforeAutospacing="1" w:after="100" w:afterAutospacing="1"/>
        <w:rPr>
          <w:rFonts w:ascii="Georgia" w:eastAsia="Times New Roman" w:hAnsi="Georgia" w:cs="Times New Roman"/>
          <w:sz w:val="22"/>
          <w:szCs w:val="22"/>
        </w:rPr>
      </w:pPr>
      <w:r w:rsidRPr="00BC1541">
        <w:rPr>
          <w:rFonts w:ascii="Georgia" w:eastAsia="Times New Roman" w:hAnsi="Georgia" w:cs="Times New Roman"/>
          <w:sz w:val="22"/>
          <w:szCs w:val="22"/>
        </w:rPr>
        <w:t xml:space="preserve">By focusing his programs on music of the late Haydn and Mozart and the very-much-alive Beethoven, the Vienna-born violinist also played a key role in enshrining those three as the headliners of music’s Classical era–not to mention helping to establish the very concept of </w:t>
      </w:r>
      <w:r w:rsidR="00674F35" w:rsidRPr="003A4E1A">
        <w:rPr>
          <w:rFonts w:ascii="Georgia" w:eastAsia="Times New Roman" w:hAnsi="Georgia" w:cs="Times New Roman"/>
          <w:sz w:val="22"/>
          <w:szCs w:val="22"/>
        </w:rPr>
        <w:br/>
      </w:r>
      <w:r w:rsidRPr="00BC1541">
        <w:rPr>
          <w:rFonts w:ascii="Georgia" w:eastAsia="Times New Roman" w:hAnsi="Georgia" w:cs="Times New Roman"/>
          <w:sz w:val="22"/>
          <w:szCs w:val="22"/>
        </w:rPr>
        <w:t>small-c classical music. </w:t>
      </w:r>
    </w:p>
    <w:p w:rsidR="00BC1541" w:rsidRPr="00BC1541" w:rsidRDefault="00BC1541" w:rsidP="00BC1541">
      <w:pPr>
        <w:spacing w:before="100" w:beforeAutospacing="1" w:after="100" w:afterAutospacing="1"/>
        <w:rPr>
          <w:rFonts w:ascii="Georgia" w:eastAsia="Times New Roman" w:hAnsi="Georgia" w:cs="Times New Roman"/>
          <w:sz w:val="22"/>
          <w:szCs w:val="22"/>
        </w:rPr>
      </w:pPr>
      <w:proofErr w:type="spellStart"/>
      <w:r w:rsidRPr="00BC1541">
        <w:rPr>
          <w:rFonts w:ascii="Georgia" w:eastAsia="Times New Roman" w:hAnsi="Georgia" w:cs="Times New Roman"/>
          <w:sz w:val="22"/>
          <w:szCs w:val="22"/>
        </w:rPr>
        <w:t>Schuppanzigh</w:t>
      </w:r>
      <w:proofErr w:type="spellEnd"/>
      <w:r w:rsidRPr="00BC1541">
        <w:rPr>
          <w:rFonts w:ascii="Georgia" w:eastAsia="Times New Roman" w:hAnsi="Georgia" w:cs="Times New Roman"/>
          <w:sz w:val="22"/>
          <w:szCs w:val="22"/>
        </w:rPr>
        <w:t xml:space="preserve"> occasionally allowed other living composers inside the charmed circle (among them a certain Franz Schubert), taking a presenter’s care—then as now—not to overtax his audience with too much novelty.</w:t>
      </w:r>
    </w:p>
    <w:p w:rsidR="00BC1541" w:rsidRPr="00BC1541" w:rsidRDefault="00BC1541" w:rsidP="00BC1541">
      <w:pPr>
        <w:spacing w:before="100" w:beforeAutospacing="1" w:after="100" w:afterAutospacing="1"/>
        <w:rPr>
          <w:rFonts w:ascii="Georgia" w:eastAsia="Times New Roman" w:hAnsi="Georgia" w:cs="Times New Roman"/>
          <w:sz w:val="22"/>
          <w:szCs w:val="22"/>
        </w:rPr>
      </w:pPr>
      <w:r w:rsidRPr="00BC1541">
        <w:rPr>
          <w:rFonts w:ascii="Georgia" w:eastAsia="Times New Roman" w:hAnsi="Georgia" w:cs="Times New Roman"/>
          <w:sz w:val="22"/>
          <w:szCs w:val="22"/>
        </w:rPr>
        <w:t xml:space="preserve">The 1825 program reenacted Sunday was a </w:t>
      </w:r>
      <w:proofErr w:type="spellStart"/>
      <w:r w:rsidRPr="00BC1541">
        <w:rPr>
          <w:rFonts w:ascii="Georgia" w:eastAsia="Times New Roman" w:hAnsi="Georgia" w:cs="Times New Roman"/>
          <w:sz w:val="22"/>
          <w:szCs w:val="22"/>
        </w:rPr>
        <w:t>Schuppanzigh</w:t>
      </w:r>
      <w:proofErr w:type="spellEnd"/>
      <w:r w:rsidRPr="00BC1541">
        <w:rPr>
          <w:rFonts w:ascii="Georgia" w:eastAsia="Times New Roman" w:hAnsi="Georgia" w:cs="Times New Roman"/>
          <w:sz w:val="22"/>
          <w:szCs w:val="22"/>
        </w:rPr>
        <w:t xml:space="preserve"> classic: Haydn’s Quartet in E-flat major, Op. 71, No. 3, composed in 1793; the novelty item, </w:t>
      </w:r>
      <w:proofErr w:type="spellStart"/>
      <w:r w:rsidRPr="00BC1541">
        <w:rPr>
          <w:rFonts w:ascii="Georgia" w:eastAsia="Times New Roman" w:hAnsi="Georgia" w:cs="Times New Roman"/>
          <w:sz w:val="22"/>
          <w:szCs w:val="22"/>
        </w:rPr>
        <w:t>Spohr’s</w:t>
      </w:r>
      <w:proofErr w:type="spellEnd"/>
      <w:r w:rsidRPr="00BC1541">
        <w:rPr>
          <w:rFonts w:ascii="Georgia" w:eastAsia="Times New Roman" w:hAnsi="Georgia" w:cs="Times New Roman"/>
          <w:sz w:val="22"/>
          <w:szCs w:val="22"/>
        </w:rPr>
        <w:t xml:space="preserve"> Double Quartet No. 1 in D minor, Op. 65, of 1823; and a favorite of his subscribers, Beethoven’s String Quintet in C major, Op. 29, </w:t>
      </w:r>
      <w:proofErr w:type="gramStart"/>
      <w:r w:rsidRPr="00BC1541">
        <w:rPr>
          <w:rFonts w:ascii="Georgia" w:eastAsia="Times New Roman" w:hAnsi="Georgia" w:cs="Times New Roman"/>
          <w:sz w:val="22"/>
          <w:szCs w:val="22"/>
        </w:rPr>
        <w:t>composed</w:t>
      </w:r>
      <w:proofErr w:type="gramEnd"/>
      <w:r w:rsidRPr="00BC1541">
        <w:rPr>
          <w:rFonts w:ascii="Georgia" w:eastAsia="Times New Roman" w:hAnsi="Georgia" w:cs="Times New Roman"/>
          <w:sz w:val="22"/>
          <w:szCs w:val="22"/>
        </w:rPr>
        <w:t xml:space="preserve"> 24 years previously in 1801.</w:t>
      </w:r>
    </w:p>
    <w:p w:rsidR="00BC1541" w:rsidRPr="00BC1541" w:rsidRDefault="00BC1541" w:rsidP="00BC1541">
      <w:pPr>
        <w:spacing w:before="100" w:beforeAutospacing="1" w:after="100" w:afterAutospacing="1"/>
        <w:rPr>
          <w:rFonts w:ascii="Georgia" w:eastAsia="Times New Roman" w:hAnsi="Georgia" w:cs="Times New Roman"/>
          <w:sz w:val="22"/>
          <w:szCs w:val="22"/>
        </w:rPr>
      </w:pPr>
      <w:r w:rsidRPr="00BC1541">
        <w:rPr>
          <w:rFonts w:ascii="Georgia" w:eastAsia="Times New Roman" w:hAnsi="Georgia" w:cs="Times New Roman"/>
          <w:sz w:val="22"/>
          <w:szCs w:val="22"/>
        </w:rPr>
        <w:t xml:space="preserve">One difference between then and what sometimes happens now is that the Haydn was not treated as a throwaway item before getting to the “meat” of the program. In 1825, Haydn was the meat, and on Sunday the </w:t>
      </w:r>
      <w:proofErr w:type="spellStart"/>
      <w:r w:rsidRPr="00BC1541">
        <w:rPr>
          <w:rFonts w:ascii="Georgia" w:eastAsia="Times New Roman" w:hAnsi="Georgia" w:cs="Times New Roman"/>
          <w:sz w:val="22"/>
          <w:szCs w:val="22"/>
        </w:rPr>
        <w:t>Miró</w:t>
      </w:r>
      <w:proofErr w:type="spellEnd"/>
      <w:r w:rsidRPr="00BC1541">
        <w:rPr>
          <w:rFonts w:ascii="Georgia" w:eastAsia="Times New Roman" w:hAnsi="Georgia" w:cs="Times New Roman"/>
          <w:sz w:val="22"/>
          <w:szCs w:val="22"/>
        </w:rPr>
        <w:t xml:space="preserve"> Quartet—Daniel Ching and William </w:t>
      </w:r>
      <w:proofErr w:type="spellStart"/>
      <w:r w:rsidRPr="00BC1541">
        <w:rPr>
          <w:rFonts w:ascii="Georgia" w:eastAsia="Times New Roman" w:hAnsi="Georgia" w:cs="Times New Roman"/>
          <w:sz w:val="22"/>
          <w:szCs w:val="22"/>
        </w:rPr>
        <w:t>Fedkenheuer</w:t>
      </w:r>
      <w:proofErr w:type="spellEnd"/>
      <w:r w:rsidRPr="00BC1541">
        <w:rPr>
          <w:rFonts w:ascii="Georgia" w:eastAsia="Times New Roman" w:hAnsi="Georgia" w:cs="Times New Roman"/>
          <w:sz w:val="22"/>
          <w:szCs w:val="22"/>
        </w:rPr>
        <w:t xml:space="preserve">, violins; John Largess, viola; and Joshua </w:t>
      </w:r>
      <w:proofErr w:type="spellStart"/>
      <w:r w:rsidRPr="00BC1541">
        <w:rPr>
          <w:rFonts w:ascii="Georgia" w:eastAsia="Times New Roman" w:hAnsi="Georgia" w:cs="Times New Roman"/>
          <w:sz w:val="22"/>
          <w:szCs w:val="22"/>
        </w:rPr>
        <w:t>Gindele</w:t>
      </w:r>
      <w:proofErr w:type="spellEnd"/>
      <w:r w:rsidRPr="00BC1541">
        <w:rPr>
          <w:rFonts w:ascii="Georgia" w:eastAsia="Times New Roman" w:hAnsi="Georgia" w:cs="Times New Roman"/>
          <w:sz w:val="22"/>
          <w:szCs w:val="22"/>
        </w:rPr>
        <w:t>, cello—gave full attention to the composer’s striking ideas, harmonic daring, and fine textures.</w:t>
      </w:r>
    </w:p>
    <w:p w:rsidR="00BC1541" w:rsidRPr="00BC1541" w:rsidRDefault="00BC1541" w:rsidP="00BC1541">
      <w:pPr>
        <w:spacing w:before="100" w:beforeAutospacing="1" w:after="100" w:afterAutospacing="1"/>
        <w:rPr>
          <w:rFonts w:ascii="Georgia" w:eastAsia="Times New Roman" w:hAnsi="Georgia" w:cs="Times New Roman"/>
          <w:sz w:val="22"/>
          <w:szCs w:val="22"/>
        </w:rPr>
      </w:pPr>
      <w:r w:rsidRPr="00BC1541">
        <w:rPr>
          <w:rFonts w:ascii="Georgia" w:eastAsia="Times New Roman" w:hAnsi="Georgia" w:cs="Times New Roman"/>
          <w:sz w:val="22"/>
          <w:szCs w:val="22"/>
        </w:rPr>
        <w:t xml:space="preserve">One may hear more energized, scrappier performances of Haydn elsewhere, but the </w:t>
      </w:r>
      <w:proofErr w:type="spellStart"/>
      <w:r w:rsidRPr="00BC1541">
        <w:rPr>
          <w:rFonts w:ascii="Georgia" w:eastAsia="Times New Roman" w:hAnsi="Georgia" w:cs="Times New Roman"/>
          <w:sz w:val="22"/>
          <w:szCs w:val="22"/>
        </w:rPr>
        <w:t>Miró</w:t>
      </w:r>
      <w:proofErr w:type="spellEnd"/>
      <w:r w:rsidRPr="00BC1541">
        <w:rPr>
          <w:rFonts w:ascii="Georgia" w:eastAsia="Times New Roman" w:hAnsi="Georgia" w:cs="Times New Roman"/>
          <w:sz w:val="22"/>
          <w:szCs w:val="22"/>
        </w:rPr>
        <w:t xml:space="preserve"> players demonstrated that elegant and refined don’t equal bland. And playing exactly in time doesn’t equal mechanical, either; on the contrary, in Sunday’s performance, it made the rhythms pop and dance, while permitting considerable liberties with the tempo.</w:t>
      </w:r>
    </w:p>
    <w:p w:rsidR="00BC1541" w:rsidRPr="00BC1541" w:rsidRDefault="00BC1541" w:rsidP="00BC1541">
      <w:pPr>
        <w:spacing w:before="100" w:beforeAutospacing="1" w:after="100" w:afterAutospacing="1"/>
        <w:rPr>
          <w:rFonts w:ascii="Georgia" w:eastAsia="Times New Roman" w:hAnsi="Georgia" w:cs="Times New Roman"/>
          <w:sz w:val="22"/>
          <w:szCs w:val="22"/>
        </w:rPr>
      </w:pPr>
      <w:r w:rsidRPr="00BC1541">
        <w:rPr>
          <w:rFonts w:ascii="Georgia" w:eastAsia="Times New Roman" w:hAnsi="Georgia" w:cs="Times New Roman"/>
          <w:sz w:val="22"/>
          <w:szCs w:val="22"/>
        </w:rPr>
        <w:t>One might have wished for more variety of tone as Haydn moved into different moods and harmonies–but then, do we complain because a finely polished mahogany table doesn’t have more colors?</w:t>
      </w:r>
    </w:p>
    <w:p w:rsidR="00BC1541" w:rsidRPr="00BC1541" w:rsidRDefault="00BC1541" w:rsidP="00BC1541">
      <w:pPr>
        <w:spacing w:before="100" w:beforeAutospacing="1" w:after="100" w:afterAutospacing="1"/>
        <w:rPr>
          <w:rFonts w:ascii="Georgia" w:eastAsia="Times New Roman" w:hAnsi="Georgia" w:cs="Times New Roman"/>
          <w:sz w:val="22"/>
          <w:szCs w:val="22"/>
        </w:rPr>
      </w:pPr>
      <w:r w:rsidRPr="00BC1541">
        <w:rPr>
          <w:rFonts w:ascii="Georgia" w:eastAsia="Times New Roman" w:hAnsi="Georgia" w:cs="Times New Roman"/>
          <w:sz w:val="22"/>
          <w:szCs w:val="22"/>
        </w:rPr>
        <w:t xml:space="preserve">The second movement, a set of variations, was moving along at a well-gauged Andante con moto when a string broke on </w:t>
      </w:r>
      <w:proofErr w:type="spellStart"/>
      <w:r w:rsidRPr="00BC1541">
        <w:rPr>
          <w:rFonts w:ascii="Georgia" w:eastAsia="Times New Roman" w:hAnsi="Georgia" w:cs="Times New Roman"/>
          <w:sz w:val="22"/>
          <w:szCs w:val="22"/>
        </w:rPr>
        <w:t>Fedkenheuer’s</w:t>
      </w:r>
      <w:proofErr w:type="spellEnd"/>
      <w:r w:rsidRPr="00BC1541">
        <w:rPr>
          <w:rFonts w:ascii="Georgia" w:eastAsia="Times New Roman" w:hAnsi="Georgia" w:cs="Times New Roman"/>
          <w:sz w:val="22"/>
          <w:szCs w:val="22"/>
        </w:rPr>
        <w:t xml:space="preserve"> violin. Violist Largess regaled the audience with a string-breaking-at-an-inopportune-moment anecdote—all quartets have those—while the violinist replaced the string offstage.</w:t>
      </w:r>
    </w:p>
    <w:p w:rsidR="00BC1541" w:rsidRPr="00BC1541" w:rsidRDefault="00BC1541" w:rsidP="00BC1541">
      <w:pPr>
        <w:spacing w:before="100" w:beforeAutospacing="1" w:after="100" w:afterAutospacing="1"/>
        <w:rPr>
          <w:rFonts w:ascii="Georgia" w:eastAsia="Times New Roman" w:hAnsi="Georgia" w:cs="Times New Roman"/>
          <w:sz w:val="22"/>
          <w:szCs w:val="22"/>
        </w:rPr>
      </w:pPr>
      <w:r w:rsidRPr="00BC1541">
        <w:rPr>
          <w:rFonts w:ascii="Georgia" w:eastAsia="Times New Roman" w:hAnsi="Georgia" w:cs="Times New Roman"/>
          <w:sz w:val="22"/>
          <w:szCs w:val="22"/>
        </w:rPr>
        <w:t>The incident proved something of an icebreaker for players and audience, as the quartet took the Andante from the top with, it seemed, an extra touch of freedom and conviviality. An incisive but light-footed minuet followed, and the skipping finale ended in a flurry of fast 16</w:t>
      </w:r>
      <w:r w:rsidRPr="00BC1541">
        <w:rPr>
          <w:rFonts w:ascii="Georgia" w:eastAsia="Times New Roman" w:hAnsi="Georgia" w:cs="Times New Roman"/>
          <w:sz w:val="22"/>
          <w:szCs w:val="22"/>
          <w:vertAlign w:val="superscript"/>
        </w:rPr>
        <w:t xml:space="preserve">th </w:t>
      </w:r>
      <w:r w:rsidRPr="00BC1541">
        <w:rPr>
          <w:rFonts w:ascii="Georgia" w:eastAsia="Times New Roman" w:hAnsi="Georgia" w:cs="Times New Roman"/>
          <w:sz w:val="22"/>
          <w:szCs w:val="22"/>
        </w:rPr>
        <w:t xml:space="preserve">notes for all four players, an effect that no doubt wowed Haydn’s London audience in 1794 and </w:t>
      </w:r>
      <w:proofErr w:type="spellStart"/>
      <w:r w:rsidRPr="00BC1541">
        <w:rPr>
          <w:rFonts w:ascii="Georgia" w:eastAsia="Times New Roman" w:hAnsi="Georgia" w:cs="Times New Roman"/>
          <w:sz w:val="22"/>
          <w:szCs w:val="22"/>
        </w:rPr>
        <w:t>Schuppanzigh’s</w:t>
      </w:r>
      <w:proofErr w:type="spellEnd"/>
      <w:r w:rsidRPr="00BC1541">
        <w:rPr>
          <w:rFonts w:ascii="Georgia" w:eastAsia="Times New Roman" w:hAnsi="Georgia" w:cs="Times New Roman"/>
          <w:sz w:val="22"/>
          <w:szCs w:val="22"/>
        </w:rPr>
        <w:t xml:space="preserve"> 1825 Viennese as it did the New Yorkers on Sunday.</w:t>
      </w:r>
    </w:p>
    <w:p w:rsidR="00BC1541" w:rsidRPr="00BC1541" w:rsidRDefault="00BC1541" w:rsidP="00BC1541">
      <w:pPr>
        <w:spacing w:before="100" w:beforeAutospacing="1" w:after="100" w:afterAutospacing="1"/>
        <w:rPr>
          <w:rFonts w:ascii="Georgia" w:eastAsia="Times New Roman" w:hAnsi="Georgia" w:cs="Times New Roman"/>
          <w:sz w:val="22"/>
          <w:szCs w:val="22"/>
        </w:rPr>
      </w:pPr>
      <w:r w:rsidRPr="00BC1541">
        <w:rPr>
          <w:rFonts w:ascii="Georgia" w:eastAsia="Times New Roman" w:hAnsi="Georgia" w:cs="Times New Roman"/>
          <w:sz w:val="22"/>
          <w:szCs w:val="22"/>
        </w:rPr>
        <w:t xml:space="preserve">Louis </w:t>
      </w:r>
      <w:proofErr w:type="spellStart"/>
      <w:r w:rsidRPr="00BC1541">
        <w:rPr>
          <w:rFonts w:ascii="Georgia" w:eastAsia="Times New Roman" w:hAnsi="Georgia" w:cs="Times New Roman"/>
          <w:sz w:val="22"/>
          <w:szCs w:val="22"/>
        </w:rPr>
        <w:t>Spohr</w:t>
      </w:r>
      <w:proofErr w:type="spellEnd"/>
      <w:r w:rsidRPr="00BC1541">
        <w:rPr>
          <w:rFonts w:ascii="Georgia" w:eastAsia="Times New Roman" w:hAnsi="Georgia" w:cs="Times New Roman"/>
          <w:sz w:val="22"/>
          <w:szCs w:val="22"/>
        </w:rPr>
        <w:t xml:space="preserve"> was best known as a leading violinist of his day, but he took well-deserved pride in his compositions, particularly in the exotic genre of double quartet—not the same as an octet, but literally two string quartets side by side onstage, encouraging not just big </w:t>
      </w:r>
      <w:proofErr w:type="spellStart"/>
      <w:r w:rsidRPr="00BC1541">
        <w:rPr>
          <w:rFonts w:ascii="Georgia" w:eastAsia="Times New Roman" w:hAnsi="Georgia" w:cs="Times New Roman"/>
          <w:sz w:val="22"/>
          <w:szCs w:val="22"/>
        </w:rPr>
        <w:t>tutti</w:t>
      </w:r>
      <w:proofErr w:type="spellEnd"/>
      <w:r w:rsidRPr="00BC1541">
        <w:rPr>
          <w:rFonts w:ascii="Georgia" w:eastAsia="Times New Roman" w:hAnsi="Georgia" w:cs="Times New Roman"/>
          <w:sz w:val="22"/>
          <w:szCs w:val="22"/>
        </w:rPr>
        <w:t xml:space="preserve"> playing but call-and-response and concerto-like textures.</w:t>
      </w:r>
    </w:p>
    <w:p w:rsidR="00BC1541" w:rsidRPr="00BC1541" w:rsidRDefault="00BC1541" w:rsidP="00BC1541">
      <w:pPr>
        <w:spacing w:before="100" w:beforeAutospacing="1" w:after="100" w:afterAutospacing="1"/>
        <w:rPr>
          <w:rFonts w:ascii="Georgia" w:eastAsia="Times New Roman" w:hAnsi="Georgia" w:cs="Times New Roman"/>
          <w:sz w:val="22"/>
          <w:szCs w:val="22"/>
        </w:rPr>
      </w:pPr>
      <w:r w:rsidRPr="00BC1541">
        <w:rPr>
          <w:rFonts w:ascii="Georgia" w:eastAsia="Times New Roman" w:hAnsi="Georgia" w:cs="Times New Roman"/>
          <w:sz w:val="22"/>
          <w:szCs w:val="22"/>
        </w:rPr>
        <w:lastRenderedPageBreak/>
        <w:t xml:space="preserve">Concerto style predominated in </w:t>
      </w:r>
      <w:proofErr w:type="spellStart"/>
      <w:r w:rsidRPr="00BC1541">
        <w:rPr>
          <w:rFonts w:ascii="Georgia" w:eastAsia="Times New Roman" w:hAnsi="Georgia" w:cs="Times New Roman"/>
          <w:sz w:val="22"/>
          <w:szCs w:val="22"/>
        </w:rPr>
        <w:t>Spohr’s</w:t>
      </w:r>
      <w:proofErr w:type="spellEnd"/>
      <w:r w:rsidRPr="00BC1541">
        <w:rPr>
          <w:rFonts w:ascii="Georgia" w:eastAsia="Times New Roman" w:hAnsi="Georgia" w:cs="Times New Roman"/>
          <w:sz w:val="22"/>
          <w:szCs w:val="22"/>
        </w:rPr>
        <w:t xml:space="preserve"> D minor Double Quartet with quartet 1 (Kristin Lee and Cho-Liang Lin, violins; Mark Holloway, viola; and </w:t>
      </w:r>
      <w:proofErr w:type="spellStart"/>
      <w:r w:rsidRPr="00BC1541">
        <w:rPr>
          <w:rFonts w:ascii="Georgia" w:eastAsia="Times New Roman" w:hAnsi="Georgia" w:cs="Times New Roman"/>
          <w:sz w:val="22"/>
          <w:szCs w:val="22"/>
        </w:rPr>
        <w:t>Miró’s</w:t>
      </w:r>
      <w:proofErr w:type="spellEnd"/>
      <w:r w:rsidRPr="00BC1541">
        <w:rPr>
          <w:rFonts w:ascii="Georgia" w:eastAsia="Times New Roman" w:hAnsi="Georgia" w:cs="Times New Roman"/>
          <w:sz w:val="22"/>
          <w:szCs w:val="22"/>
        </w:rPr>
        <w:t xml:space="preserve"> cellist </w:t>
      </w:r>
      <w:proofErr w:type="spellStart"/>
      <w:r w:rsidRPr="00BC1541">
        <w:rPr>
          <w:rFonts w:ascii="Georgia" w:eastAsia="Times New Roman" w:hAnsi="Georgia" w:cs="Times New Roman"/>
          <w:sz w:val="22"/>
          <w:szCs w:val="22"/>
        </w:rPr>
        <w:t>Gindele</w:t>
      </w:r>
      <w:proofErr w:type="spellEnd"/>
      <w:r w:rsidRPr="00BC1541">
        <w:rPr>
          <w:rFonts w:ascii="Georgia" w:eastAsia="Times New Roman" w:hAnsi="Georgia" w:cs="Times New Roman"/>
          <w:sz w:val="22"/>
          <w:szCs w:val="22"/>
        </w:rPr>
        <w:t xml:space="preserve">) featured as a group and in individual solos, and quartet 2 (three </w:t>
      </w:r>
      <w:proofErr w:type="spellStart"/>
      <w:r w:rsidRPr="00BC1541">
        <w:rPr>
          <w:rFonts w:ascii="Georgia" w:eastAsia="Times New Roman" w:hAnsi="Georgia" w:cs="Times New Roman"/>
          <w:sz w:val="22"/>
          <w:szCs w:val="22"/>
        </w:rPr>
        <w:t>Miró</w:t>
      </w:r>
      <w:proofErr w:type="spellEnd"/>
      <w:r w:rsidRPr="00BC1541">
        <w:rPr>
          <w:rFonts w:ascii="Georgia" w:eastAsia="Times New Roman" w:hAnsi="Georgia" w:cs="Times New Roman"/>
          <w:sz w:val="22"/>
          <w:szCs w:val="22"/>
        </w:rPr>
        <w:t xml:space="preserve"> players with cellist Gary Hoffman filling in) mostly accompanying.</w:t>
      </w:r>
    </w:p>
    <w:p w:rsidR="00BC1541" w:rsidRPr="00BC1541" w:rsidRDefault="00BC1541" w:rsidP="00BC1541">
      <w:pPr>
        <w:spacing w:before="100" w:beforeAutospacing="1" w:after="100" w:afterAutospacing="1"/>
        <w:rPr>
          <w:rFonts w:ascii="Georgia" w:eastAsia="Times New Roman" w:hAnsi="Georgia" w:cs="Times New Roman"/>
          <w:sz w:val="22"/>
          <w:szCs w:val="22"/>
        </w:rPr>
      </w:pPr>
      <w:r w:rsidRPr="00BC1541">
        <w:rPr>
          <w:rFonts w:ascii="Georgia" w:eastAsia="Times New Roman" w:hAnsi="Georgia" w:cs="Times New Roman"/>
          <w:sz w:val="22"/>
          <w:szCs w:val="22"/>
        </w:rPr>
        <w:t xml:space="preserve">In the piece’s substantial first movement, one could tell </w:t>
      </w:r>
      <w:proofErr w:type="spellStart"/>
      <w:r w:rsidRPr="00BC1541">
        <w:rPr>
          <w:rFonts w:ascii="Georgia" w:eastAsia="Times New Roman" w:hAnsi="Georgia" w:cs="Times New Roman"/>
          <w:sz w:val="22"/>
          <w:szCs w:val="22"/>
        </w:rPr>
        <w:t>Spohr</w:t>
      </w:r>
      <w:proofErr w:type="spellEnd"/>
      <w:r w:rsidRPr="00BC1541">
        <w:rPr>
          <w:rFonts w:ascii="Georgia" w:eastAsia="Times New Roman" w:hAnsi="Georgia" w:cs="Times New Roman"/>
          <w:sz w:val="22"/>
          <w:szCs w:val="22"/>
        </w:rPr>
        <w:t xml:space="preserve"> knew his Mozart and Beethoven as the music stepped out with an angular theme à la the former’s “</w:t>
      </w:r>
      <w:proofErr w:type="spellStart"/>
      <w:r w:rsidRPr="00BC1541">
        <w:rPr>
          <w:rFonts w:ascii="Georgia" w:eastAsia="Times New Roman" w:hAnsi="Georgia" w:cs="Times New Roman"/>
          <w:sz w:val="22"/>
          <w:szCs w:val="22"/>
        </w:rPr>
        <w:t>Haffner</w:t>
      </w:r>
      <w:proofErr w:type="spellEnd"/>
      <w:r w:rsidRPr="00BC1541">
        <w:rPr>
          <w:rFonts w:ascii="Georgia" w:eastAsia="Times New Roman" w:hAnsi="Georgia" w:cs="Times New Roman"/>
          <w:sz w:val="22"/>
          <w:szCs w:val="22"/>
        </w:rPr>
        <w:t>” Symphony and proceeded with intense motivic development and orchestral effects such as additive crescendos. At the same time, one felt the pull of chromatic, early Romantic harmonies pointing toward Weber and Mendelssohn.</w:t>
      </w:r>
    </w:p>
    <w:p w:rsidR="00BC1541" w:rsidRPr="00BC1541" w:rsidRDefault="00BC1541" w:rsidP="00BC1541">
      <w:pPr>
        <w:spacing w:before="100" w:beforeAutospacing="1" w:after="100" w:afterAutospacing="1"/>
        <w:rPr>
          <w:rFonts w:ascii="Georgia" w:eastAsia="Times New Roman" w:hAnsi="Georgia" w:cs="Times New Roman"/>
          <w:sz w:val="22"/>
          <w:szCs w:val="22"/>
        </w:rPr>
      </w:pPr>
      <w:r w:rsidRPr="00BC1541">
        <w:rPr>
          <w:rFonts w:ascii="Georgia" w:eastAsia="Times New Roman" w:hAnsi="Georgia" w:cs="Times New Roman"/>
          <w:sz w:val="22"/>
          <w:szCs w:val="22"/>
        </w:rPr>
        <w:t xml:space="preserve">After this heady brew, </w:t>
      </w:r>
      <w:proofErr w:type="spellStart"/>
      <w:r w:rsidRPr="00BC1541">
        <w:rPr>
          <w:rFonts w:ascii="Georgia" w:eastAsia="Times New Roman" w:hAnsi="Georgia" w:cs="Times New Roman"/>
          <w:sz w:val="22"/>
          <w:szCs w:val="22"/>
        </w:rPr>
        <w:t>Spohr</w:t>
      </w:r>
      <w:proofErr w:type="spellEnd"/>
      <w:r w:rsidRPr="00BC1541">
        <w:rPr>
          <w:rFonts w:ascii="Georgia" w:eastAsia="Times New Roman" w:hAnsi="Georgia" w:cs="Times New Roman"/>
          <w:sz w:val="22"/>
          <w:szCs w:val="22"/>
        </w:rPr>
        <w:t xml:space="preserve"> disposed of the last three movements quickly: a pointed Scherzo with sharp </w:t>
      </w:r>
      <w:proofErr w:type="spellStart"/>
      <w:r w:rsidRPr="00BC1541">
        <w:rPr>
          <w:rFonts w:ascii="Georgia" w:eastAsia="Times New Roman" w:hAnsi="Georgia" w:cs="Times New Roman"/>
          <w:sz w:val="22"/>
          <w:szCs w:val="22"/>
        </w:rPr>
        <w:t>sforzandos</w:t>
      </w:r>
      <w:proofErr w:type="spellEnd"/>
      <w:r w:rsidRPr="00BC1541">
        <w:rPr>
          <w:rFonts w:ascii="Georgia" w:eastAsia="Times New Roman" w:hAnsi="Georgia" w:cs="Times New Roman"/>
          <w:sz w:val="22"/>
          <w:szCs w:val="22"/>
        </w:rPr>
        <w:t xml:space="preserve"> and </w:t>
      </w:r>
      <w:proofErr w:type="spellStart"/>
      <w:r w:rsidRPr="00BC1541">
        <w:rPr>
          <w:rFonts w:ascii="Georgia" w:eastAsia="Times New Roman" w:hAnsi="Georgia" w:cs="Times New Roman"/>
          <w:sz w:val="22"/>
          <w:szCs w:val="22"/>
        </w:rPr>
        <w:t>Haydnesque</w:t>
      </w:r>
      <w:proofErr w:type="spellEnd"/>
      <w:r w:rsidRPr="00BC1541">
        <w:rPr>
          <w:rFonts w:ascii="Georgia" w:eastAsia="Times New Roman" w:hAnsi="Georgia" w:cs="Times New Roman"/>
          <w:sz w:val="22"/>
          <w:szCs w:val="22"/>
        </w:rPr>
        <w:t xml:space="preserve"> play with the upbeat, a brief Larghetto on one repeated phrase, and a short, amusingly intricate Finale. The eight players made a compelling case for the piece, indicating depths, especially in the first movement, that would reward more hearings. </w:t>
      </w:r>
    </w:p>
    <w:p w:rsidR="00BC1541" w:rsidRPr="00BC1541" w:rsidRDefault="00BC1541" w:rsidP="00BC1541">
      <w:pPr>
        <w:spacing w:before="100" w:beforeAutospacing="1" w:after="100" w:afterAutospacing="1"/>
        <w:rPr>
          <w:rFonts w:ascii="Georgia" w:eastAsia="Times New Roman" w:hAnsi="Georgia" w:cs="Times New Roman"/>
          <w:sz w:val="22"/>
          <w:szCs w:val="22"/>
        </w:rPr>
      </w:pPr>
      <w:r w:rsidRPr="00BC1541">
        <w:rPr>
          <w:rFonts w:ascii="Georgia" w:eastAsia="Times New Roman" w:hAnsi="Georgia" w:cs="Times New Roman"/>
          <w:sz w:val="22"/>
          <w:szCs w:val="22"/>
        </w:rPr>
        <w:t>Unfortunately, the logistics of the chamber-music business make string quartets as common as dandelions and two quartets onstage as rare as hen’s teeth. Almost the same goes for string quintets, and so Beethoven’s C major Quintet is a fairly rare concert item as well.</w:t>
      </w:r>
    </w:p>
    <w:p w:rsidR="00BC1541" w:rsidRPr="00BC1541" w:rsidRDefault="00BC1541" w:rsidP="00BC1541">
      <w:pPr>
        <w:spacing w:before="100" w:beforeAutospacing="1" w:after="100" w:afterAutospacing="1"/>
        <w:rPr>
          <w:rFonts w:ascii="Georgia" w:eastAsia="Times New Roman" w:hAnsi="Georgia" w:cs="Times New Roman"/>
          <w:sz w:val="22"/>
          <w:szCs w:val="22"/>
        </w:rPr>
      </w:pPr>
      <w:r w:rsidRPr="00BC1541">
        <w:rPr>
          <w:rFonts w:ascii="Georgia" w:eastAsia="Times New Roman" w:hAnsi="Georgia" w:cs="Times New Roman"/>
          <w:sz w:val="22"/>
          <w:szCs w:val="22"/>
        </w:rPr>
        <w:t>It may not be the most heaven-storming music Beethoven ever wrote, but it is still Beethoven, and the five players (violinists Lin and Lee, violists Holloway and Largess, and cellist Hoffman) delivered the unpredictable twists of its first movement with playing of considerable tensile strength. </w:t>
      </w:r>
    </w:p>
    <w:p w:rsidR="00BC1541" w:rsidRPr="00BC1541" w:rsidRDefault="00BC1541" w:rsidP="00BC1541">
      <w:pPr>
        <w:spacing w:before="100" w:beforeAutospacing="1" w:after="100" w:afterAutospacing="1"/>
        <w:rPr>
          <w:rFonts w:ascii="Georgia" w:eastAsia="Times New Roman" w:hAnsi="Georgia" w:cs="Times New Roman"/>
          <w:sz w:val="22"/>
          <w:szCs w:val="22"/>
        </w:rPr>
      </w:pPr>
      <w:r w:rsidRPr="00BC1541">
        <w:rPr>
          <w:rFonts w:ascii="Georgia" w:eastAsia="Times New Roman" w:hAnsi="Georgia" w:cs="Times New Roman"/>
          <w:sz w:val="22"/>
          <w:szCs w:val="22"/>
        </w:rPr>
        <w:t>A classic early-Beethoven Adagio, leisurely and deeply expressive, followed. Two short movements, a galloping scherzo and a dramatic finale with urgent tremolo, closed the piece in colorful fashion. In unanimity of phrasing and conception, Sunday’s pickup ensemble rivaled quartets who have played together for years.</w:t>
      </w:r>
    </w:p>
    <w:p w:rsidR="00BC1541" w:rsidRPr="00BC1541" w:rsidRDefault="00BC1541" w:rsidP="00BC1541">
      <w:pPr>
        <w:spacing w:before="100" w:beforeAutospacing="1" w:after="100" w:afterAutospacing="1"/>
        <w:rPr>
          <w:rFonts w:ascii="Georgia" w:eastAsia="Times New Roman" w:hAnsi="Georgia" w:cs="Times New Roman"/>
          <w:sz w:val="22"/>
          <w:szCs w:val="22"/>
        </w:rPr>
      </w:pPr>
      <w:r w:rsidRPr="00BC1541">
        <w:rPr>
          <w:rFonts w:ascii="Georgia" w:eastAsia="Times New Roman" w:hAnsi="Georgia" w:cs="Times New Roman"/>
          <w:sz w:val="22"/>
          <w:szCs w:val="22"/>
        </w:rPr>
        <w:t xml:space="preserve">More bold and impassioned string pieces than these would later enter the repertoire—and to his credit, </w:t>
      </w:r>
      <w:proofErr w:type="spellStart"/>
      <w:r w:rsidRPr="00BC1541">
        <w:rPr>
          <w:rFonts w:ascii="Georgia" w:eastAsia="Times New Roman" w:hAnsi="Georgia" w:cs="Times New Roman"/>
          <w:sz w:val="22"/>
          <w:szCs w:val="22"/>
        </w:rPr>
        <w:t>Schuppanzigh</w:t>
      </w:r>
      <w:proofErr w:type="spellEnd"/>
      <w:r w:rsidRPr="00BC1541">
        <w:rPr>
          <w:rFonts w:ascii="Georgia" w:eastAsia="Times New Roman" w:hAnsi="Georgia" w:cs="Times New Roman"/>
          <w:sz w:val="22"/>
          <w:szCs w:val="22"/>
        </w:rPr>
        <w:t xml:space="preserve"> presented every one of Beethoven’s new quartets as it appeared, no matter how far-out it must have seemed at the time. But in 1825 terms, it would be hard to imagine a chamber-music concert more vividly played than Sunday’s performances by CMS and the </w:t>
      </w:r>
      <w:proofErr w:type="spellStart"/>
      <w:r w:rsidRPr="00BC1541">
        <w:rPr>
          <w:rFonts w:ascii="Georgia" w:eastAsia="Times New Roman" w:hAnsi="Georgia" w:cs="Times New Roman"/>
          <w:sz w:val="22"/>
          <w:szCs w:val="22"/>
        </w:rPr>
        <w:t>Miró</w:t>
      </w:r>
      <w:proofErr w:type="spellEnd"/>
      <w:r w:rsidRPr="00BC1541">
        <w:rPr>
          <w:rFonts w:ascii="Georgia" w:eastAsia="Times New Roman" w:hAnsi="Georgia" w:cs="Times New Roman"/>
          <w:sz w:val="22"/>
          <w:szCs w:val="22"/>
        </w:rPr>
        <w:t xml:space="preserve"> Quartet.</w:t>
      </w:r>
    </w:p>
    <w:p w:rsidR="00BC1541" w:rsidRPr="00BC1541" w:rsidRDefault="00BC1541" w:rsidP="00BC1541">
      <w:pPr>
        <w:spacing w:after="200" w:line="276" w:lineRule="auto"/>
        <w:rPr>
          <w:rFonts w:ascii="Georgia" w:eastAsia="Calibri" w:hAnsi="Georgia" w:cs="Times New Roman"/>
          <w:sz w:val="22"/>
          <w:szCs w:val="22"/>
        </w:rPr>
      </w:pPr>
    </w:p>
    <w:p w:rsidR="00BC545F" w:rsidRPr="003A4E1A" w:rsidRDefault="00BC545F" w:rsidP="0082287F">
      <w:pPr>
        <w:rPr>
          <w:rFonts w:ascii="Georgia" w:hAnsi="Georgia" w:cs="Arial"/>
          <w:sz w:val="20"/>
          <w:szCs w:val="20"/>
        </w:rPr>
      </w:pPr>
      <w:bookmarkStart w:id="0" w:name="_GoBack"/>
      <w:bookmarkEnd w:id="0"/>
    </w:p>
    <w:sectPr w:rsidR="00BC545F" w:rsidRPr="003A4E1A" w:rsidSect="00BC1541">
      <w:headerReference w:type="default" r:id="rId10"/>
      <w:footerReference w:type="default" r:id="rId11"/>
      <w:pgSz w:w="12240" w:h="15840"/>
      <w:pgMar w:top="1350" w:right="1440" w:bottom="1080" w:left="1440" w:header="446" w:footer="40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21BA" w:rsidRDefault="00A021BA" w:rsidP="00A879F5">
      <w:r>
        <w:separator/>
      </w:r>
    </w:p>
  </w:endnote>
  <w:endnote w:type="continuationSeparator" w:id="0">
    <w:p w:rsidR="00A021BA" w:rsidRDefault="00A021BA" w:rsidP="00A879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Calibri">
    <w:altName w:val="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9F5" w:rsidRPr="00A879F5" w:rsidRDefault="00A879F5" w:rsidP="00FA6C94">
    <w:pPr>
      <w:pStyle w:val="Footer"/>
      <w:tabs>
        <w:tab w:val="clear" w:pos="4320"/>
        <w:tab w:val="clear" w:pos="8640"/>
      </w:tabs>
      <w:jc w:val="center"/>
    </w:pPr>
    <w:r>
      <w:rPr>
        <w:noProof/>
      </w:rPr>
      <w:drawing>
        <wp:anchor distT="0" distB="0" distL="114300" distR="114300" simplePos="0" relativeHeight="251657216" behindDoc="0" locked="0" layoutInCell="1" allowOverlap="1">
          <wp:simplePos x="0" y="0"/>
          <wp:positionH relativeFrom="column">
            <wp:posOffset>-718185</wp:posOffset>
          </wp:positionH>
          <wp:positionV relativeFrom="paragraph">
            <wp:posOffset>5715</wp:posOffset>
          </wp:positionV>
          <wp:extent cx="7405200" cy="273461"/>
          <wp:effectExtent l="0" t="0" r="0" b="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png"/>
                  <pic:cNvPicPr/>
                </pic:nvPicPr>
                <pic:blipFill>
                  <a:blip r:embed="rId1">
                    <a:extLst>
                      <a:ext uri="{28A0092B-C50C-407E-A947-70E740481C1C}">
                        <a14:useLocalDpi xmlns:a14="http://schemas.microsoft.com/office/drawing/2010/main" val="0"/>
                      </a:ext>
                    </a:extLst>
                  </a:blip>
                  <a:stretch>
                    <a:fillRect/>
                  </a:stretch>
                </pic:blipFill>
                <pic:spPr>
                  <a:xfrm>
                    <a:off x="0" y="0"/>
                    <a:ext cx="7405200" cy="273461"/>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21BA" w:rsidRDefault="00A021BA" w:rsidP="00A879F5">
      <w:r>
        <w:separator/>
      </w:r>
    </w:p>
  </w:footnote>
  <w:footnote w:type="continuationSeparator" w:id="0">
    <w:p w:rsidR="00A021BA" w:rsidRDefault="00A021BA" w:rsidP="00A879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287F" w:rsidRPr="0082287F" w:rsidRDefault="00A879F5" w:rsidP="00FA6C94">
    <w:pPr>
      <w:pStyle w:val="Header"/>
      <w:tabs>
        <w:tab w:val="clear" w:pos="4320"/>
        <w:tab w:val="clear" w:pos="8640"/>
      </w:tabs>
      <w:jc w:val="center"/>
      <w:rPr>
        <w:rFonts w:ascii="Arial" w:hAnsi="Arial" w:cs="Arial"/>
        <w:sz w:val="20"/>
        <w:szCs w:val="20"/>
      </w:rPr>
    </w:pPr>
    <w:r w:rsidRPr="00A879F5">
      <w:rPr>
        <w:noProof/>
        <w:vertAlign w:val="subscript"/>
      </w:rPr>
      <w:drawing>
        <wp:inline distT="0" distB="0" distL="0" distR="0" wp14:anchorId="500F0A66" wp14:editId="6C0EC617">
          <wp:extent cx="2401019" cy="36576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png"/>
                  <pic:cNvPicPr/>
                </pic:nvPicPr>
                <pic:blipFill>
                  <a:blip r:embed="rId1">
                    <a:extLst>
                      <a:ext uri="{28A0092B-C50C-407E-A947-70E740481C1C}">
                        <a14:useLocalDpi xmlns:a14="http://schemas.microsoft.com/office/drawing/2010/main" val="0"/>
                      </a:ext>
                    </a:extLst>
                  </a:blip>
                  <a:stretch>
                    <a:fillRect/>
                  </a:stretch>
                </pic:blipFill>
                <pic:spPr>
                  <a:xfrm>
                    <a:off x="0" y="0"/>
                    <a:ext cx="2408772" cy="366941"/>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24C47"/>
    <w:multiLevelType w:val="hybridMultilevel"/>
    <w:tmpl w:val="F44EE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307CF0"/>
    <w:multiLevelType w:val="hybridMultilevel"/>
    <w:tmpl w:val="C25A7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76691B"/>
    <w:multiLevelType w:val="hybridMultilevel"/>
    <w:tmpl w:val="F2D22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1433E0"/>
    <w:multiLevelType w:val="hybridMultilevel"/>
    <w:tmpl w:val="AF9C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A30CDA"/>
    <w:multiLevelType w:val="hybridMultilevel"/>
    <w:tmpl w:val="7E923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7131E0"/>
    <w:multiLevelType w:val="hybridMultilevel"/>
    <w:tmpl w:val="359AC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896C7F"/>
    <w:multiLevelType w:val="hybridMultilevel"/>
    <w:tmpl w:val="589EF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9862048"/>
    <w:multiLevelType w:val="hybridMultilevel"/>
    <w:tmpl w:val="36AE2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BD4248"/>
    <w:multiLevelType w:val="hybridMultilevel"/>
    <w:tmpl w:val="2F58C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BE2C8D"/>
    <w:multiLevelType w:val="hybridMultilevel"/>
    <w:tmpl w:val="A866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D9B7EC6"/>
    <w:multiLevelType w:val="hybridMultilevel"/>
    <w:tmpl w:val="AF0A9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9"/>
  </w:num>
  <w:num w:numId="4">
    <w:abstractNumId w:val="1"/>
  </w:num>
  <w:num w:numId="5">
    <w:abstractNumId w:val="10"/>
  </w:num>
  <w:num w:numId="6">
    <w:abstractNumId w:val="0"/>
  </w:num>
  <w:num w:numId="7">
    <w:abstractNumId w:val="5"/>
  </w:num>
  <w:num w:numId="8">
    <w:abstractNumId w:val="3"/>
  </w:num>
  <w:num w:numId="9">
    <w:abstractNumId w:val="2"/>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9F5"/>
    <w:rsid w:val="00066871"/>
    <w:rsid w:val="00067B28"/>
    <w:rsid w:val="000F5D39"/>
    <w:rsid w:val="00111058"/>
    <w:rsid w:val="001749BC"/>
    <w:rsid w:val="001F1EB3"/>
    <w:rsid w:val="002F0A7E"/>
    <w:rsid w:val="0031136B"/>
    <w:rsid w:val="003664CB"/>
    <w:rsid w:val="003A4E1A"/>
    <w:rsid w:val="003C416E"/>
    <w:rsid w:val="003E00D9"/>
    <w:rsid w:val="0041573A"/>
    <w:rsid w:val="00487F9C"/>
    <w:rsid w:val="00501B18"/>
    <w:rsid w:val="005924D0"/>
    <w:rsid w:val="00674F35"/>
    <w:rsid w:val="00683305"/>
    <w:rsid w:val="006F2650"/>
    <w:rsid w:val="007E1FD5"/>
    <w:rsid w:val="00805BBD"/>
    <w:rsid w:val="0082287F"/>
    <w:rsid w:val="00856320"/>
    <w:rsid w:val="008843C5"/>
    <w:rsid w:val="008C75BC"/>
    <w:rsid w:val="008D7FB9"/>
    <w:rsid w:val="008E4180"/>
    <w:rsid w:val="00926EB6"/>
    <w:rsid w:val="009420F5"/>
    <w:rsid w:val="00950C2C"/>
    <w:rsid w:val="009731A6"/>
    <w:rsid w:val="009C54A3"/>
    <w:rsid w:val="009C6E32"/>
    <w:rsid w:val="009E7951"/>
    <w:rsid w:val="009F1430"/>
    <w:rsid w:val="009F5F6A"/>
    <w:rsid w:val="00A021BA"/>
    <w:rsid w:val="00A62A73"/>
    <w:rsid w:val="00A879F5"/>
    <w:rsid w:val="00AF1686"/>
    <w:rsid w:val="00AF5AF2"/>
    <w:rsid w:val="00B5304C"/>
    <w:rsid w:val="00BA5559"/>
    <w:rsid w:val="00BC1541"/>
    <w:rsid w:val="00BC545F"/>
    <w:rsid w:val="00BE5C05"/>
    <w:rsid w:val="00C42730"/>
    <w:rsid w:val="00C77ED2"/>
    <w:rsid w:val="00C9079B"/>
    <w:rsid w:val="00C92AB0"/>
    <w:rsid w:val="00CA2088"/>
    <w:rsid w:val="00CC17DD"/>
    <w:rsid w:val="00CC2191"/>
    <w:rsid w:val="00CE2799"/>
    <w:rsid w:val="00D87761"/>
    <w:rsid w:val="00DA607B"/>
    <w:rsid w:val="00E148B3"/>
    <w:rsid w:val="00F75A28"/>
    <w:rsid w:val="00FA6C94"/>
    <w:rsid w:val="00FD61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docId w15:val="{626A26B6-9BD5-4F20-8DB4-F037B453B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79F5"/>
    <w:pPr>
      <w:tabs>
        <w:tab w:val="center" w:pos="4320"/>
        <w:tab w:val="right" w:pos="8640"/>
      </w:tabs>
    </w:pPr>
  </w:style>
  <w:style w:type="character" w:customStyle="1" w:styleId="HeaderChar">
    <w:name w:val="Header Char"/>
    <w:basedOn w:val="DefaultParagraphFont"/>
    <w:link w:val="Header"/>
    <w:uiPriority w:val="99"/>
    <w:rsid w:val="00A879F5"/>
  </w:style>
  <w:style w:type="paragraph" w:styleId="Footer">
    <w:name w:val="footer"/>
    <w:basedOn w:val="Normal"/>
    <w:link w:val="FooterChar"/>
    <w:uiPriority w:val="99"/>
    <w:unhideWhenUsed/>
    <w:rsid w:val="00A879F5"/>
    <w:pPr>
      <w:tabs>
        <w:tab w:val="center" w:pos="4320"/>
        <w:tab w:val="right" w:pos="8640"/>
      </w:tabs>
    </w:pPr>
  </w:style>
  <w:style w:type="character" w:customStyle="1" w:styleId="FooterChar">
    <w:name w:val="Footer Char"/>
    <w:basedOn w:val="DefaultParagraphFont"/>
    <w:link w:val="Footer"/>
    <w:uiPriority w:val="99"/>
    <w:rsid w:val="00A879F5"/>
  </w:style>
  <w:style w:type="paragraph" w:styleId="BalloonText">
    <w:name w:val="Balloon Text"/>
    <w:basedOn w:val="Normal"/>
    <w:link w:val="BalloonTextChar"/>
    <w:uiPriority w:val="99"/>
    <w:semiHidden/>
    <w:unhideWhenUsed/>
    <w:rsid w:val="00A879F5"/>
    <w:rPr>
      <w:rFonts w:ascii="Lucida Grande" w:hAnsi="Lucida Grande"/>
      <w:sz w:val="18"/>
      <w:szCs w:val="18"/>
    </w:rPr>
  </w:style>
  <w:style w:type="character" w:customStyle="1" w:styleId="BalloonTextChar">
    <w:name w:val="Balloon Text Char"/>
    <w:basedOn w:val="DefaultParagraphFont"/>
    <w:link w:val="BalloonText"/>
    <w:uiPriority w:val="99"/>
    <w:semiHidden/>
    <w:rsid w:val="00A879F5"/>
    <w:rPr>
      <w:rFonts w:ascii="Lucida Grande" w:hAnsi="Lucida Grande"/>
      <w:sz w:val="18"/>
      <w:szCs w:val="18"/>
    </w:rPr>
  </w:style>
  <w:style w:type="paragraph" w:styleId="ListParagraph">
    <w:name w:val="List Paragraph"/>
    <w:basedOn w:val="Normal"/>
    <w:uiPriority w:val="34"/>
    <w:qFormat/>
    <w:rsid w:val="009F5F6A"/>
    <w:pPr>
      <w:ind w:left="720"/>
      <w:contextualSpacing/>
    </w:pPr>
  </w:style>
  <w:style w:type="character" w:customStyle="1" w:styleId="il">
    <w:name w:val="il"/>
    <w:basedOn w:val="DefaultParagraphFont"/>
    <w:rsid w:val="00FD61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3895325">
      <w:bodyDiv w:val="1"/>
      <w:marLeft w:val="0"/>
      <w:marRight w:val="0"/>
      <w:marTop w:val="0"/>
      <w:marBottom w:val="0"/>
      <w:divBdr>
        <w:top w:val="none" w:sz="0" w:space="0" w:color="auto"/>
        <w:left w:val="none" w:sz="0" w:space="0" w:color="auto"/>
        <w:bottom w:val="none" w:sz="0" w:space="0" w:color="auto"/>
        <w:right w:val="none" w:sz="0" w:space="0" w:color="auto"/>
      </w:divBdr>
    </w:div>
    <w:div w:id="1930890893">
      <w:bodyDiv w:val="1"/>
      <w:marLeft w:val="0"/>
      <w:marRight w:val="0"/>
      <w:marTop w:val="0"/>
      <w:marBottom w:val="0"/>
      <w:divBdr>
        <w:top w:val="none" w:sz="0" w:space="0" w:color="auto"/>
        <w:left w:val="none" w:sz="0" w:space="0" w:color="auto"/>
        <w:bottom w:val="none" w:sz="0" w:space="0" w:color="auto"/>
        <w:right w:val="none" w:sz="0" w:space="0" w:color="auto"/>
      </w:divBdr>
      <w:divsChild>
        <w:div w:id="815799974">
          <w:marLeft w:val="0"/>
          <w:marRight w:val="0"/>
          <w:marTop w:val="0"/>
          <w:marBottom w:val="0"/>
          <w:divBdr>
            <w:top w:val="none" w:sz="0" w:space="0" w:color="auto"/>
            <w:left w:val="none" w:sz="0" w:space="0" w:color="auto"/>
            <w:bottom w:val="none" w:sz="0" w:space="0" w:color="auto"/>
            <w:right w:val="none" w:sz="0" w:space="0" w:color="auto"/>
          </w:divBdr>
        </w:div>
        <w:div w:id="1712729106">
          <w:marLeft w:val="0"/>
          <w:marRight w:val="0"/>
          <w:marTop w:val="0"/>
          <w:marBottom w:val="0"/>
          <w:divBdr>
            <w:top w:val="none" w:sz="0" w:space="0" w:color="auto"/>
            <w:left w:val="none" w:sz="0" w:space="0" w:color="auto"/>
            <w:bottom w:val="none" w:sz="0" w:space="0" w:color="auto"/>
            <w:right w:val="none" w:sz="0" w:space="0" w:color="auto"/>
          </w:divBdr>
        </w:div>
        <w:div w:id="1126387642">
          <w:marLeft w:val="0"/>
          <w:marRight w:val="0"/>
          <w:marTop w:val="0"/>
          <w:marBottom w:val="0"/>
          <w:divBdr>
            <w:top w:val="none" w:sz="0" w:space="0" w:color="auto"/>
            <w:left w:val="none" w:sz="0" w:space="0" w:color="auto"/>
            <w:bottom w:val="none" w:sz="0" w:space="0" w:color="auto"/>
            <w:right w:val="none" w:sz="0" w:space="0" w:color="auto"/>
          </w:divBdr>
        </w:div>
        <w:div w:id="887107334">
          <w:marLeft w:val="0"/>
          <w:marRight w:val="0"/>
          <w:marTop w:val="0"/>
          <w:marBottom w:val="0"/>
          <w:divBdr>
            <w:top w:val="none" w:sz="0" w:space="0" w:color="auto"/>
            <w:left w:val="none" w:sz="0" w:space="0" w:color="auto"/>
            <w:bottom w:val="none" w:sz="0" w:space="0" w:color="auto"/>
            <w:right w:val="none" w:sz="0" w:space="0" w:color="auto"/>
          </w:divBdr>
        </w:div>
        <w:div w:id="2125149543">
          <w:marLeft w:val="0"/>
          <w:marRight w:val="0"/>
          <w:marTop w:val="0"/>
          <w:marBottom w:val="0"/>
          <w:divBdr>
            <w:top w:val="none" w:sz="0" w:space="0" w:color="auto"/>
            <w:left w:val="none" w:sz="0" w:space="0" w:color="auto"/>
            <w:bottom w:val="none" w:sz="0" w:space="0" w:color="auto"/>
            <w:right w:val="none" w:sz="0" w:space="0" w:color="auto"/>
          </w:divBdr>
        </w:div>
        <w:div w:id="1190292226">
          <w:marLeft w:val="0"/>
          <w:marRight w:val="0"/>
          <w:marTop w:val="0"/>
          <w:marBottom w:val="0"/>
          <w:divBdr>
            <w:top w:val="none" w:sz="0" w:space="0" w:color="auto"/>
            <w:left w:val="none" w:sz="0" w:space="0" w:color="auto"/>
            <w:bottom w:val="none" w:sz="0" w:space="0" w:color="auto"/>
            <w:right w:val="none" w:sz="0" w:space="0" w:color="auto"/>
          </w:divBdr>
        </w:div>
        <w:div w:id="1646737515">
          <w:marLeft w:val="0"/>
          <w:marRight w:val="0"/>
          <w:marTop w:val="0"/>
          <w:marBottom w:val="0"/>
          <w:divBdr>
            <w:top w:val="none" w:sz="0" w:space="0" w:color="auto"/>
            <w:left w:val="none" w:sz="0" w:space="0" w:color="auto"/>
            <w:bottom w:val="none" w:sz="0" w:space="0" w:color="auto"/>
            <w:right w:val="none" w:sz="0" w:space="0" w:color="auto"/>
          </w:divBdr>
        </w:div>
        <w:div w:id="185406088">
          <w:marLeft w:val="0"/>
          <w:marRight w:val="0"/>
          <w:marTop w:val="0"/>
          <w:marBottom w:val="0"/>
          <w:divBdr>
            <w:top w:val="none" w:sz="0" w:space="0" w:color="auto"/>
            <w:left w:val="none" w:sz="0" w:space="0" w:color="auto"/>
            <w:bottom w:val="none" w:sz="0" w:space="0" w:color="auto"/>
            <w:right w:val="none" w:sz="0" w:space="0" w:color="auto"/>
          </w:divBdr>
        </w:div>
        <w:div w:id="1740252181">
          <w:marLeft w:val="0"/>
          <w:marRight w:val="0"/>
          <w:marTop w:val="0"/>
          <w:marBottom w:val="0"/>
          <w:divBdr>
            <w:top w:val="none" w:sz="0" w:space="0" w:color="auto"/>
            <w:left w:val="none" w:sz="0" w:space="0" w:color="auto"/>
            <w:bottom w:val="none" w:sz="0" w:space="0" w:color="auto"/>
            <w:right w:val="none" w:sz="0" w:space="0" w:color="auto"/>
          </w:divBdr>
        </w:div>
        <w:div w:id="1152215217">
          <w:marLeft w:val="0"/>
          <w:marRight w:val="0"/>
          <w:marTop w:val="0"/>
          <w:marBottom w:val="0"/>
          <w:divBdr>
            <w:top w:val="none" w:sz="0" w:space="0" w:color="auto"/>
            <w:left w:val="none" w:sz="0" w:space="0" w:color="auto"/>
            <w:bottom w:val="none" w:sz="0" w:space="0" w:color="auto"/>
            <w:right w:val="none" w:sz="0" w:space="0" w:color="auto"/>
          </w:divBdr>
        </w:div>
        <w:div w:id="1848135474">
          <w:marLeft w:val="0"/>
          <w:marRight w:val="0"/>
          <w:marTop w:val="0"/>
          <w:marBottom w:val="0"/>
          <w:divBdr>
            <w:top w:val="none" w:sz="0" w:space="0" w:color="auto"/>
            <w:left w:val="none" w:sz="0" w:space="0" w:color="auto"/>
            <w:bottom w:val="none" w:sz="0" w:space="0" w:color="auto"/>
            <w:right w:val="none" w:sz="0" w:space="0" w:color="auto"/>
          </w:divBdr>
        </w:div>
        <w:div w:id="1054431961">
          <w:marLeft w:val="0"/>
          <w:marRight w:val="0"/>
          <w:marTop w:val="0"/>
          <w:marBottom w:val="0"/>
          <w:divBdr>
            <w:top w:val="none" w:sz="0" w:space="0" w:color="auto"/>
            <w:left w:val="none" w:sz="0" w:space="0" w:color="auto"/>
            <w:bottom w:val="none" w:sz="0" w:space="0" w:color="auto"/>
            <w:right w:val="none" w:sz="0" w:space="0" w:color="auto"/>
          </w:divBdr>
        </w:div>
        <w:div w:id="1429035474">
          <w:marLeft w:val="0"/>
          <w:marRight w:val="0"/>
          <w:marTop w:val="0"/>
          <w:marBottom w:val="0"/>
          <w:divBdr>
            <w:top w:val="none" w:sz="0" w:space="0" w:color="auto"/>
            <w:left w:val="none" w:sz="0" w:space="0" w:color="auto"/>
            <w:bottom w:val="none" w:sz="0" w:space="0" w:color="auto"/>
            <w:right w:val="none" w:sz="0" w:space="0" w:color="auto"/>
          </w:divBdr>
        </w:div>
        <w:div w:id="2030451830">
          <w:marLeft w:val="0"/>
          <w:marRight w:val="0"/>
          <w:marTop w:val="0"/>
          <w:marBottom w:val="0"/>
          <w:divBdr>
            <w:top w:val="none" w:sz="0" w:space="0" w:color="auto"/>
            <w:left w:val="none" w:sz="0" w:space="0" w:color="auto"/>
            <w:bottom w:val="none" w:sz="0" w:space="0" w:color="auto"/>
            <w:right w:val="none" w:sz="0" w:space="0" w:color="auto"/>
          </w:divBdr>
        </w:div>
        <w:div w:id="192118197">
          <w:marLeft w:val="0"/>
          <w:marRight w:val="0"/>
          <w:marTop w:val="0"/>
          <w:marBottom w:val="0"/>
          <w:divBdr>
            <w:top w:val="none" w:sz="0" w:space="0" w:color="auto"/>
            <w:left w:val="none" w:sz="0" w:space="0" w:color="auto"/>
            <w:bottom w:val="none" w:sz="0" w:space="0" w:color="auto"/>
            <w:right w:val="none" w:sz="0" w:space="0" w:color="auto"/>
          </w:divBdr>
        </w:div>
        <w:div w:id="591745633">
          <w:marLeft w:val="0"/>
          <w:marRight w:val="0"/>
          <w:marTop w:val="0"/>
          <w:marBottom w:val="0"/>
          <w:divBdr>
            <w:top w:val="none" w:sz="0" w:space="0" w:color="auto"/>
            <w:left w:val="none" w:sz="0" w:space="0" w:color="auto"/>
            <w:bottom w:val="none" w:sz="0" w:space="0" w:color="auto"/>
            <w:right w:val="none" w:sz="0" w:space="0" w:color="auto"/>
          </w:divBdr>
        </w:div>
        <w:div w:id="4064977">
          <w:marLeft w:val="0"/>
          <w:marRight w:val="0"/>
          <w:marTop w:val="0"/>
          <w:marBottom w:val="0"/>
          <w:divBdr>
            <w:top w:val="none" w:sz="0" w:space="0" w:color="auto"/>
            <w:left w:val="none" w:sz="0" w:space="0" w:color="auto"/>
            <w:bottom w:val="none" w:sz="0" w:space="0" w:color="auto"/>
            <w:right w:val="none" w:sz="0" w:space="0" w:color="auto"/>
          </w:divBdr>
        </w:div>
        <w:div w:id="335377384">
          <w:marLeft w:val="0"/>
          <w:marRight w:val="0"/>
          <w:marTop w:val="0"/>
          <w:marBottom w:val="0"/>
          <w:divBdr>
            <w:top w:val="none" w:sz="0" w:space="0" w:color="auto"/>
            <w:left w:val="none" w:sz="0" w:space="0" w:color="auto"/>
            <w:bottom w:val="none" w:sz="0" w:space="0" w:color="auto"/>
            <w:right w:val="none" w:sz="0" w:space="0" w:color="auto"/>
          </w:divBdr>
        </w:div>
        <w:div w:id="798953878">
          <w:marLeft w:val="0"/>
          <w:marRight w:val="0"/>
          <w:marTop w:val="0"/>
          <w:marBottom w:val="0"/>
          <w:divBdr>
            <w:top w:val="none" w:sz="0" w:space="0" w:color="auto"/>
            <w:left w:val="none" w:sz="0" w:space="0" w:color="auto"/>
            <w:bottom w:val="none" w:sz="0" w:space="0" w:color="auto"/>
            <w:right w:val="none" w:sz="0" w:space="0" w:color="auto"/>
          </w:divBdr>
        </w:div>
        <w:div w:id="665476274">
          <w:marLeft w:val="0"/>
          <w:marRight w:val="0"/>
          <w:marTop w:val="0"/>
          <w:marBottom w:val="0"/>
          <w:divBdr>
            <w:top w:val="none" w:sz="0" w:space="0" w:color="auto"/>
            <w:left w:val="none" w:sz="0" w:space="0" w:color="auto"/>
            <w:bottom w:val="none" w:sz="0" w:space="0" w:color="auto"/>
            <w:right w:val="none" w:sz="0" w:space="0" w:color="auto"/>
          </w:divBdr>
        </w:div>
        <w:div w:id="875315583">
          <w:marLeft w:val="0"/>
          <w:marRight w:val="0"/>
          <w:marTop w:val="0"/>
          <w:marBottom w:val="0"/>
          <w:divBdr>
            <w:top w:val="none" w:sz="0" w:space="0" w:color="auto"/>
            <w:left w:val="none" w:sz="0" w:space="0" w:color="auto"/>
            <w:bottom w:val="none" w:sz="0" w:space="0" w:color="auto"/>
            <w:right w:val="none" w:sz="0" w:space="0" w:color="auto"/>
          </w:divBdr>
        </w:div>
        <w:div w:id="842665957">
          <w:marLeft w:val="0"/>
          <w:marRight w:val="0"/>
          <w:marTop w:val="0"/>
          <w:marBottom w:val="0"/>
          <w:divBdr>
            <w:top w:val="none" w:sz="0" w:space="0" w:color="auto"/>
            <w:left w:val="none" w:sz="0" w:space="0" w:color="auto"/>
            <w:bottom w:val="none" w:sz="0" w:space="0" w:color="auto"/>
            <w:right w:val="none" w:sz="0" w:space="0" w:color="auto"/>
          </w:divBdr>
        </w:div>
        <w:div w:id="1459840801">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newyorkclassicalreview.com/author/david-wrigh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991</Words>
  <Characters>5654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K8 Design</Company>
  <LinksUpToDate>false</LinksUpToDate>
  <CharactersWithSpaces>6632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Dautrich</dc:creator>
  <cp:keywords/>
  <dc:description/>
  <cp:lastModifiedBy>Lisa Jaehnig</cp:lastModifiedBy>
  <cp:revision>3</cp:revision>
  <cp:lastPrinted>2018-09-06T21:27:00Z</cp:lastPrinted>
  <dcterms:created xsi:type="dcterms:W3CDTF">2019-06-07T20:00:00Z</dcterms:created>
  <dcterms:modified xsi:type="dcterms:W3CDTF">2019-06-07T20:22:00Z</dcterms:modified>
</cp:coreProperties>
</file>