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1D" w:rsidRPr="00254E1D" w:rsidRDefault="00254E1D" w:rsidP="00254E1D">
      <w:pPr>
        <w:jc w:val="center"/>
        <w:outlineLvl w:val="0"/>
        <w:rPr>
          <w:rFonts w:ascii="Georgia" w:eastAsia="Times New Roman" w:hAnsi="Georgia" w:cs="Helvetica"/>
          <w:b/>
          <w:kern w:val="36"/>
          <w:sz w:val="22"/>
          <w:szCs w:val="22"/>
        </w:rPr>
      </w:pPr>
      <w:r w:rsidRPr="00254E1D">
        <w:rPr>
          <w:rFonts w:ascii="Georgia" w:hAnsi="Georgia"/>
          <w:b/>
          <w:noProof/>
          <w:sz w:val="22"/>
          <w:szCs w:val="22"/>
        </w:rPr>
        <w:drawing>
          <wp:inline distT="0" distB="0" distL="0" distR="0">
            <wp:extent cx="3924300" cy="660604"/>
            <wp:effectExtent l="0" t="0" r="0" b="6350"/>
            <wp:docPr id="2" name="Picture 2" descr="ClevelandClassical.com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evelandClassical.com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929" cy="666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E1D" w:rsidRDefault="00254E1D" w:rsidP="00254E1D">
      <w:pPr>
        <w:jc w:val="center"/>
        <w:outlineLvl w:val="0"/>
        <w:rPr>
          <w:rFonts w:ascii="Georgia" w:eastAsia="Times New Roman" w:hAnsi="Georgia" w:cs="Helvetica"/>
          <w:b/>
          <w:sz w:val="22"/>
          <w:szCs w:val="22"/>
        </w:rPr>
      </w:pPr>
      <w:r w:rsidRPr="00254E1D">
        <w:rPr>
          <w:rFonts w:ascii="Georgia" w:eastAsia="Times New Roman" w:hAnsi="Georgia" w:cs="Helvetica"/>
          <w:b/>
          <w:sz w:val="22"/>
          <w:szCs w:val="22"/>
        </w:rPr>
        <w:t>June 19, 2018</w:t>
      </w:r>
    </w:p>
    <w:p w:rsidR="00254E1D" w:rsidRPr="00254E1D" w:rsidRDefault="00254E1D" w:rsidP="00254E1D">
      <w:pPr>
        <w:jc w:val="center"/>
        <w:outlineLvl w:val="0"/>
        <w:rPr>
          <w:rFonts w:ascii="Georgia" w:eastAsia="Times New Roman" w:hAnsi="Georgia" w:cs="Helvetica"/>
          <w:b/>
          <w:kern w:val="36"/>
          <w:sz w:val="22"/>
          <w:szCs w:val="22"/>
        </w:rPr>
      </w:pPr>
    </w:p>
    <w:p w:rsidR="00254E1D" w:rsidRDefault="00254E1D" w:rsidP="00254E1D">
      <w:pPr>
        <w:outlineLvl w:val="0"/>
        <w:rPr>
          <w:rFonts w:ascii="Georgia" w:eastAsia="Times New Roman" w:hAnsi="Georgia" w:cs="Helvetica"/>
          <w:color w:val="AC1A1D"/>
          <w:kern w:val="36"/>
          <w:sz w:val="32"/>
          <w:szCs w:val="32"/>
        </w:rPr>
      </w:pPr>
      <w:r w:rsidRPr="00254E1D">
        <w:rPr>
          <w:rFonts w:ascii="Georgia" w:eastAsia="Times New Roman" w:hAnsi="Georgia" w:cs="Helvetica"/>
          <w:color w:val="AC1A1D"/>
          <w:kern w:val="36"/>
          <w:sz w:val="32"/>
          <w:szCs w:val="32"/>
        </w:rPr>
        <w:t xml:space="preserve">ENCORE Chamber Music: the </w:t>
      </w:r>
      <w:proofErr w:type="spellStart"/>
      <w:r w:rsidRPr="00254E1D">
        <w:rPr>
          <w:rFonts w:ascii="Georgia" w:eastAsia="Times New Roman" w:hAnsi="Georgia" w:cs="Helvetica"/>
          <w:color w:val="AC1A1D"/>
          <w:kern w:val="36"/>
          <w:sz w:val="32"/>
          <w:szCs w:val="32"/>
        </w:rPr>
        <w:t>Miró</w:t>
      </w:r>
      <w:proofErr w:type="spellEnd"/>
      <w:r w:rsidRPr="00254E1D">
        <w:rPr>
          <w:rFonts w:ascii="Georgia" w:eastAsia="Times New Roman" w:hAnsi="Georgia" w:cs="Helvetica"/>
          <w:color w:val="AC1A1D"/>
          <w:kern w:val="36"/>
          <w:sz w:val="32"/>
          <w:szCs w:val="32"/>
        </w:rPr>
        <w:t xml:space="preserve"> Quartet </w:t>
      </w:r>
    </w:p>
    <w:p w:rsidR="00254E1D" w:rsidRPr="00254E1D" w:rsidRDefault="00254E1D" w:rsidP="00254E1D">
      <w:pPr>
        <w:outlineLvl w:val="0"/>
        <w:rPr>
          <w:rFonts w:ascii="Georgia" w:eastAsia="Times New Roman" w:hAnsi="Georgia" w:cs="Helvetica"/>
          <w:color w:val="AC1A1D"/>
          <w:kern w:val="36"/>
          <w:sz w:val="22"/>
          <w:szCs w:val="22"/>
        </w:rPr>
      </w:pP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>
        <w:rPr>
          <w:rFonts w:ascii="Georgia" w:eastAsia="Times New Roman" w:hAnsi="Georgia" w:cs="Times New Roman"/>
          <w:color w:val="333333"/>
          <w:sz w:val="22"/>
          <w:szCs w:val="22"/>
        </w:rPr>
        <w:t>B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y Delaney Meyers</w:t>
      </w: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>
        <w:rPr>
          <w:rFonts w:ascii="Georgia" w:eastAsia="Times New Roman" w:hAnsi="Georgia" w:cs="Times New Roman"/>
          <w:color w:val="333333"/>
          <w:sz w:val="22"/>
          <w:szCs w:val="22"/>
        </w:rPr>
        <w:t>[…]</w:t>
      </w: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Credo 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is a deep, expansive work composed in conversation with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Miró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 first violinist Daniel Ching and commissioned by Chamber Music Monterey Bay. </w:t>
      </w: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Credo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 (Latin for “I believe”) was originally conceived as part of a musical program Ching was creating to explore “the lighter side of America.” While that lightness can often be in limited supply — and the piece is by no means easy listening — </w:t>
      </w: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Credo 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manages to capture a certain charm with distinct references to fiddle music and classic “Americana” style through open, resonant harmonies.</w:t>
      </w: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The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Miró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 injected the piece with energy and character, creating an impressive range of color and tone. The opening is uplifting and occupies mostly major tonalities, with first-violin virtuosities peeking through in the form of quotations from Bach’s E-Major Partita and the Sibelius </w:t>
      </w: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Violin Concerto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 — two major staples of the instrument’s repertoire. Given the title of the piece, these quotes seemed to reference a shared belief amongst a diversified community (in this case, the trio of prickling string harmonies).</w:t>
      </w: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After a rhythmic train-like section, the work transitions into a fragile, hymn-like lament passed around the quartet with long drones underneath grounded by cellist Joshua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Gindele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. The individual lines converge into a pseudo-canon in the upper three voices before coming slowly to a stop with a simple melody that ends the piece — finally finding the “lighter side” in this serene landscape of sound. The musicians held the silence that followed for quite some time.</w:t>
      </w: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Beethoven’s Op. 132 </w:t>
      </w: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String Quartet in a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, written two years before he died, is one of the most challenging and intricate pieces in the quartet repertoire, and the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Miró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 negotiated the composer’s complex structure like it was second-nature. The ensemble got inside the work and “reconstructed” it using their own unique quartet language, bringing out the dissonances in a new and intriguing way. This is part of what makes Beethoven’s later works, though composed almost 200 years ago, always sound contemporary.</w:t>
      </w: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This five-movement work expresses the full range of nearly every emotion, and the Quartet displayed them all with passion and vigor. The centerpiece is the third movement: 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Heiliger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Dankgesang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eines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Genesenen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an der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Gottheit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, in der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Lydischen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Tonart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, which translates as “Song of Thanksgiving to the Deity from a convalescent in the Lydian mode,” and was written after the composer’s long struggle with a painful gastric illness.</w:t>
      </w: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The opening of this famous movement was beautiful if slightly tentative. However, as the ensemble warmed their sound, their motion became more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synchronised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 and their expressiveness increased in what was ultimately a compelling performance. The finale, </w:t>
      </w:r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Allegro appassionato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, was appropriately dramatic, the Quartet using up all the energy they had left.</w:t>
      </w:r>
    </w:p>
    <w:p w:rsidR="00A91E13" w:rsidRDefault="00A91E13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</w:p>
    <w:p w:rsidR="00254E1D" w:rsidRPr="00254E1D" w:rsidRDefault="00254E1D" w:rsidP="00254E1D">
      <w:pPr>
        <w:shd w:val="clear" w:color="auto" w:fill="FFFFFF"/>
        <w:rPr>
          <w:rFonts w:ascii="Georgia" w:eastAsia="Times New Roman" w:hAnsi="Georgia" w:cs="Times New Roman"/>
          <w:color w:val="333333"/>
          <w:sz w:val="22"/>
          <w:szCs w:val="22"/>
        </w:rPr>
      </w:pPr>
      <w:bookmarkStart w:id="0" w:name="_GoBack"/>
      <w:bookmarkEnd w:id="0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The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Miró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 closed out the evening with an encore: </w:t>
      </w:r>
      <w:proofErr w:type="spellStart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>Ashokan</w:t>
      </w:r>
      <w:proofErr w:type="spellEnd"/>
      <w:r w:rsidRPr="00254E1D">
        <w:rPr>
          <w:rFonts w:ascii="Georgia" w:eastAsia="Times New Roman" w:hAnsi="Georgia" w:cs="Times New Roman"/>
          <w:i/>
          <w:iCs/>
          <w:color w:val="333333"/>
          <w:sz w:val="22"/>
          <w:szCs w:val="22"/>
        </w:rPr>
        <w:t xml:space="preserve"> Farewell</w:t>
      </w:r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 xml:space="preserve"> featuring second violinist and national fiddling champion William </w:t>
      </w:r>
      <w:proofErr w:type="spellStart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Fedkenheuer</w:t>
      </w:r>
      <w:proofErr w:type="spellEnd"/>
      <w:r w:rsidRPr="00254E1D">
        <w:rPr>
          <w:rFonts w:ascii="Georgia" w:eastAsia="Times New Roman" w:hAnsi="Georgia" w:cs="Times New Roman"/>
          <w:color w:val="333333"/>
          <w:sz w:val="22"/>
          <w:szCs w:val="22"/>
        </w:rPr>
        <w:t>. Their arrangement was short and sweet, the perfect send-off after a fantastic concert.</w:t>
      </w:r>
    </w:p>
    <w:p w:rsidR="00BC545F" w:rsidRPr="00254E1D" w:rsidRDefault="00BC545F" w:rsidP="00254E1D">
      <w:pPr>
        <w:rPr>
          <w:rFonts w:ascii="Georgia" w:hAnsi="Georgia"/>
          <w:sz w:val="22"/>
          <w:szCs w:val="22"/>
        </w:rPr>
      </w:pPr>
    </w:p>
    <w:sectPr w:rsidR="00BC545F" w:rsidRPr="00254E1D" w:rsidSect="00AE47A7">
      <w:headerReference w:type="default" r:id="rId8"/>
      <w:footerReference w:type="default" r:id="rId9"/>
      <w:pgSz w:w="12240" w:h="15840"/>
      <w:pgMar w:top="1170" w:right="1440" w:bottom="1080" w:left="1440" w:header="446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6A2" w:rsidRDefault="00B106A2" w:rsidP="00A879F5">
      <w:r>
        <w:separator/>
      </w:r>
    </w:p>
  </w:endnote>
  <w:endnote w:type="continuationSeparator" w:id="0">
    <w:p w:rsidR="00B106A2" w:rsidRDefault="00B106A2" w:rsidP="00A8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Pr="00A879F5" w:rsidRDefault="00A879F5" w:rsidP="00FA6C94">
    <w:pPr>
      <w:pStyle w:val="Footer"/>
      <w:tabs>
        <w:tab w:val="clear" w:pos="4320"/>
        <w:tab w:val="clear" w:pos="8640"/>
      </w:tabs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5715</wp:posOffset>
          </wp:positionV>
          <wp:extent cx="7405200" cy="273461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5200" cy="2734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6A2" w:rsidRDefault="00B106A2" w:rsidP="00A879F5">
      <w:r>
        <w:separator/>
      </w:r>
    </w:p>
  </w:footnote>
  <w:footnote w:type="continuationSeparator" w:id="0">
    <w:p w:rsidR="00B106A2" w:rsidRDefault="00B106A2" w:rsidP="00A8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Default="00A879F5" w:rsidP="00FA6C94">
    <w:pPr>
      <w:pStyle w:val="Header"/>
      <w:tabs>
        <w:tab w:val="clear" w:pos="4320"/>
        <w:tab w:val="clear" w:pos="8640"/>
      </w:tabs>
      <w:jc w:val="center"/>
    </w:pPr>
    <w:r w:rsidRPr="00A879F5">
      <w:rPr>
        <w:noProof/>
        <w:vertAlign w:val="subscript"/>
      </w:rPr>
      <w:drawing>
        <wp:inline distT="0" distB="0" distL="0" distR="0" wp14:anchorId="500F0A66" wp14:editId="6C0EC617">
          <wp:extent cx="2401019" cy="36576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72" cy="366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4C47"/>
    <w:multiLevelType w:val="hybridMultilevel"/>
    <w:tmpl w:val="F44E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CF0"/>
    <w:multiLevelType w:val="hybridMultilevel"/>
    <w:tmpl w:val="C25A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691B"/>
    <w:multiLevelType w:val="hybridMultilevel"/>
    <w:tmpl w:val="F2D2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433E0"/>
    <w:multiLevelType w:val="hybridMultilevel"/>
    <w:tmpl w:val="AF9C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30CDA"/>
    <w:multiLevelType w:val="hybridMultilevel"/>
    <w:tmpl w:val="7E92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131E0"/>
    <w:multiLevelType w:val="hybridMultilevel"/>
    <w:tmpl w:val="359A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96C7F"/>
    <w:multiLevelType w:val="hybridMultilevel"/>
    <w:tmpl w:val="589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62048"/>
    <w:multiLevelType w:val="hybridMultilevel"/>
    <w:tmpl w:val="36AE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D4248"/>
    <w:multiLevelType w:val="hybridMultilevel"/>
    <w:tmpl w:val="2F5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E2C8D"/>
    <w:multiLevelType w:val="hybridMultilevel"/>
    <w:tmpl w:val="A866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B7EC6"/>
    <w:multiLevelType w:val="hybridMultilevel"/>
    <w:tmpl w:val="AF0A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5"/>
    <w:rsid w:val="00066871"/>
    <w:rsid w:val="00067B28"/>
    <w:rsid w:val="000F5D39"/>
    <w:rsid w:val="00111058"/>
    <w:rsid w:val="001749BC"/>
    <w:rsid w:val="001F1EB3"/>
    <w:rsid w:val="00254E1D"/>
    <w:rsid w:val="002D4983"/>
    <w:rsid w:val="002F0A7E"/>
    <w:rsid w:val="0031136B"/>
    <w:rsid w:val="003664CB"/>
    <w:rsid w:val="003C416E"/>
    <w:rsid w:val="003E00D9"/>
    <w:rsid w:val="0041573A"/>
    <w:rsid w:val="00487F9C"/>
    <w:rsid w:val="00501B18"/>
    <w:rsid w:val="005924D0"/>
    <w:rsid w:val="00683305"/>
    <w:rsid w:val="006F2650"/>
    <w:rsid w:val="007E1FD5"/>
    <w:rsid w:val="00805BBD"/>
    <w:rsid w:val="0082287F"/>
    <w:rsid w:val="00856320"/>
    <w:rsid w:val="008843C5"/>
    <w:rsid w:val="008C75BC"/>
    <w:rsid w:val="008D7FB9"/>
    <w:rsid w:val="008E4180"/>
    <w:rsid w:val="00926EB6"/>
    <w:rsid w:val="009420F5"/>
    <w:rsid w:val="00950C2C"/>
    <w:rsid w:val="009731A6"/>
    <w:rsid w:val="009A22B1"/>
    <w:rsid w:val="009C54A3"/>
    <w:rsid w:val="009C6E32"/>
    <w:rsid w:val="009E7951"/>
    <w:rsid w:val="009F1430"/>
    <w:rsid w:val="009F5F6A"/>
    <w:rsid w:val="00A62A73"/>
    <w:rsid w:val="00A879F5"/>
    <w:rsid w:val="00A91E13"/>
    <w:rsid w:val="00AE47A7"/>
    <w:rsid w:val="00AF1686"/>
    <w:rsid w:val="00AF5AF2"/>
    <w:rsid w:val="00B106A2"/>
    <w:rsid w:val="00B5304C"/>
    <w:rsid w:val="00BA5559"/>
    <w:rsid w:val="00BC545F"/>
    <w:rsid w:val="00BE5C05"/>
    <w:rsid w:val="00C42730"/>
    <w:rsid w:val="00C77ED2"/>
    <w:rsid w:val="00C9079B"/>
    <w:rsid w:val="00C92AB0"/>
    <w:rsid w:val="00CA2088"/>
    <w:rsid w:val="00CC17DD"/>
    <w:rsid w:val="00CC2191"/>
    <w:rsid w:val="00CE2799"/>
    <w:rsid w:val="00D87761"/>
    <w:rsid w:val="00DA607B"/>
    <w:rsid w:val="00E148B3"/>
    <w:rsid w:val="00F75A28"/>
    <w:rsid w:val="00FA6C94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626A26B6-9BD5-4F20-8DB4-F037B453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4E1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9F5"/>
  </w:style>
  <w:style w:type="paragraph" w:styleId="Footer">
    <w:name w:val="footer"/>
    <w:basedOn w:val="Normal"/>
    <w:link w:val="Foot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9F5"/>
  </w:style>
  <w:style w:type="paragraph" w:styleId="BalloonText">
    <w:name w:val="Balloon Text"/>
    <w:basedOn w:val="Normal"/>
    <w:link w:val="BalloonTextChar"/>
    <w:uiPriority w:val="99"/>
    <w:semiHidden/>
    <w:unhideWhenUsed/>
    <w:rsid w:val="00A87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F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F6A"/>
    <w:pPr>
      <w:ind w:left="720"/>
      <w:contextualSpacing/>
    </w:pPr>
  </w:style>
  <w:style w:type="character" w:customStyle="1" w:styleId="il">
    <w:name w:val="il"/>
    <w:basedOn w:val="DefaultParagraphFont"/>
    <w:rsid w:val="00FD6179"/>
  </w:style>
  <w:style w:type="character" w:customStyle="1" w:styleId="Heading1Char">
    <w:name w:val="Heading 1 Char"/>
    <w:basedOn w:val="DefaultParagraphFont"/>
    <w:link w:val="Heading1"/>
    <w:uiPriority w:val="9"/>
    <w:rsid w:val="00254E1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entry-meta">
    <w:name w:val="entry-meta"/>
    <w:basedOn w:val="Normal"/>
    <w:rsid w:val="00254E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ntry-author">
    <w:name w:val="entry-author"/>
    <w:basedOn w:val="DefaultParagraphFont"/>
    <w:rsid w:val="00254E1D"/>
  </w:style>
  <w:style w:type="character" w:styleId="Hyperlink">
    <w:name w:val="Hyperlink"/>
    <w:basedOn w:val="DefaultParagraphFont"/>
    <w:uiPriority w:val="99"/>
    <w:semiHidden/>
    <w:unhideWhenUsed/>
    <w:rsid w:val="00254E1D"/>
    <w:rPr>
      <w:color w:val="0000FF"/>
      <w:u w:val="single"/>
    </w:rPr>
  </w:style>
  <w:style w:type="character" w:customStyle="1" w:styleId="entry-author-name">
    <w:name w:val="entry-author-name"/>
    <w:basedOn w:val="DefaultParagraphFont"/>
    <w:rsid w:val="00254E1D"/>
  </w:style>
  <w:style w:type="paragraph" w:styleId="NormalWeb">
    <w:name w:val="Normal (Web)"/>
    <w:basedOn w:val="Normal"/>
    <w:uiPriority w:val="99"/>
    <w:semiHidden/>
    <w:unhideWhenUsed/>
    <w:rsid w:val="00254E1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4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4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K8 Design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Dautrich</dc:creator>
  <cp:keywords/>
  <dc:description/>
  <cp:lastModifiedBy>Lisa Jaehnig</cp:lastModifiedBy>
  <cp:revision>3</cp:revision>
  <cp:lastPrinted>2018-09-06T21:27:00Z</cp:lastPrinted>
  <dcterms:created xsi:type="dcterms:W3CDTF">2019-06-07T22:17:00Z</dcterms:created>
  <dcterms:modified xsi:type="dcterms:W3CDTF">2019-06-19T22:49:00Z</dcterms:modified>
</cp:coreProperties>
</file>