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73C" w:rsidRDefault="00E85047" w:rsidP="00E0073C">
      <w:pPr>
        <w:pStyle w:val="Header"/>
        <w:tabs>
          <w:tab w:val="clear" w:pos="4320"/>
          <w:tab w:val="clear" w:pos="8640"/>
        </w:tabs>
        <w:jc w:val="center"/>
        <w:rPr>
          <w:rFonts w:ascii="Arial" w:hAnsi="Arial" w:cs="Arial"/>
          <w:b/>
          <w:sz w:val="20"/>
          <w:szCs w:val="20"/>
        </w:rPr>
      </w:pPr>
      <w:r>
        <w:rPr>
          <w:noProof/>
        </w:rPr>
        <w:drawing>
          <wp:inline distT="0" distB="0" distL="0" distR="0" wp14:anchorId="60CBC68E" wp14:editId="048D30C6">
            <wp:extent cx="1467485" cy="685800"/>
            <wp:effectExtent l="0" t="0" r="0" b="0"/>
            <wp:docPr id="1" name="Picture 1" descr="C:\Main_Share\Clients\Miro Quartet\Photos\Logo\mirologoredo5501.png"/>
            <wp:cNvGraphicFramePr/>
            <a:graphic xmlns:a="http://schemas.openxmlformats.org/drawingml/2006/main">
              <a:graphicData uri="http://schemas.openxmlformats.org/drawingml/2006/picture">
                <pic:pic xmlns:pic="http://schemas.openxmlformats.org/drawingml/2006/picture">
                  <pic:nvPicPr>
                    <pic:cNvPr id="1" name="Picture 1" descr="C:\Main_Share\Clients\Miro Quartet\Photos\Logo\mirologoredo5501.png"/>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7485" cy="685800"/>
                    </a:xfrm>
                    <a:prstGeom prst="rect">
                      <a:avLst/>
                    </a:prstGeom>
                    <a:noFill/>
                    <a:ln>
                      <a:noFill/>
                    </a:ln>
                  </pic:spPr>
                </pic:pic>
              </a:graphicData>
            </a:graphic>
          </wp:inline>
        </w:drawing>
      </w:r>
    </w:p>
    <w:p w:rsidR="00546627" w:rsidRPr="001B73EE" w:rsidRDefault="00546627" w:rsidP="00E0073C">
      <w:pPr>
        <w:pStyle w:val="Header"/>
        <w:tabs>
          <w:tab w:val="clear" w:pos="4320"/>
          <w:tab w:val="clear" w:pos="8640"/>
        </w:tabs>
        <w:jc w:val="center"/>
        <w:rPr>
          <w:rFonts w:ascii="Arial" w:hAnsi="Arial" w:cs="Arial"/>
          <w:b/>
          <w:sz w:val="20"/>
          <w:szCs w:val="20"/>
        </w:rPr>
      </w:pPr>
    </w:p>
    <w:p w:rsidR="00E0073C" w:rsidRPr="001B73EE" w:rsidRDefault="00E0073C" w:rsidP="00E0073C">
      <w:pPr>
        <w:pStyle w:val="Header"/>
        <w:tabs>
          <w:tab w:val="clear" w:pos="4320"/>
          <w:tab w:val="clear" w:pos="8640"/>
        </w:tabs>
        <w:jc w:val="center"/>
        <w:rPr>
          <w:rFonts w:ascii="Arial" w:hAnsi="Arial" w:cs="Arial"/>
          <w:b/>
          <w:sz w:val="20"/>
          <w:szCs w:val="20"/>
        </w:rPr>
      </w:pPr>
      <w:r w:rsidRPr="001B73EE">
        <w:rPr>
          <w:rFonts w:ascii="Arial" w:hAnsi="Arial" w:cs="Arial"/>
          <w:b/>
          <w:sz w:val="20"/>
          <w:szCs w:val="20"/>
        </w:rPr>
        <w:t>Daniel Ching, violin</w:t>
      </w:r>
    </w:p>
    <w:p w:rsidR="00E0073C" w:rsidRPr="001B73EE" w:rsidRDefault="00E0073C" w:rsidP="00E0073C">
      <w:pPr>
        <w:pStyle w:val="Header"/>
        <w:tabs>
          <w:tab w:val="clear" w:pos="4320"/>
          <w:tab w:val="clear" w:pos="8640"/>
        </w:tabs>
        <w:jc w:val="center"/>
        <w:rPr>
          <w:rFonts w:ascii="Arial" w:hAnsi="Arial" w:cs="Arial"/>
          <w:b/>
          <w:sz w:val="20"/>
          <w:szCs w:val="20"/>
        </w:rPr>
      </w:pPr>
      <w:r w:rsidRPr="001B73EE">
        <w:rPr>
          <w:rFonts w:ascii="Arial" w:hAnsi="Arial" w:cs="Arial"/>
          <w:b/>
          <w:sz w:val="20"/>
          <w:szCs w:val="20"/>
        </w:rPr>
        <w:t xml:space="preserve">William </w:t>
      </w:r>
      <w:proofErr w:type="spellStart"/>
      <w:r w:rsidRPr="001B73EE">
        <w:rPr>
          <w:rFonts w:ascii="Arial" w:hAnsi="Arial" w:cs="Arial"/>
          <w:b/>
          <w:sz w:val="20"/>
          <w:szCs w:val="20"/>
        </w:rPr>
        <w:t>Fedkenheuer</w:t>
      </w:r>
      <w:proofErr w:type="spellEnd"/>
      <w:r w:rsidRPr="001B73EE">
        <w:rPr>
          <w:rFonts w:ascii="Arial" w:hAnsi="Arial" w:cs="Arial"/>
          <w:b/>
          <w:sz w:val="20"/>
          <w:szCs w:val="20"/>
        </w:rPr>
        <w:t>, violin</w:t>
      </w:r>
    </w:p>
    <w:p w:rsidR="00E0073C" w:rsidRPr="001B73EE" w:rsidRDefault="00E0073C" w:rsidP="00E0073C">
      <w:pPr>
        <w:pStyle w:val="Header"/>
        <w:tabs>
          <w:tab w:val="clear" w:pos="4320"/>
          <w:tab w:val="clear" w:pos="8640"/>
        </w:tabs>
        <w:jc w:val="center"/>
        <w:rPr>
          <w:rFonts w:ascii="Arial" w:hAnsi="Arial" w:cs="Arial"/>
          <w:b/>
          <w:sz w:val="20"/>
          <w:szCs w:val="20"/>
        </w:rPr>
      </w:pPr>
      <w:r w:rsidRPr="001B73EE">
        <w:rPr>
          <w:rFonts w:ascii="Arial" w:hAnsi="Arial" w:cs="Arial"/>
          <w:b/>
          <w:sz w:val="20"/>
          <w:szCs w:val="20"/>
        </w:rPr>
        <w:t>John Largess, viola</w:t>
      </w:r>
    </w:p>
    <w:p w:rsidR="00E0073C" w:rsidRDefault="00E0073C" w:rsidP="00E0073C">
      <w:pPr>
        <w:pStyle w:val="Header"/>
        <w:tabs>
          <w:tab w:val="clear" w:pos="4320"/>
          <w:tab w:val="clear" w:pos="8640"/>
        </w:tabs>
        <w:jc w:val="center"/>
        <w:rPr>
          <w:rFonts w:ascii="Arial" w:hAnsi="Arial" w:cs="Arial"/>
          <w:b/>
          <w:sz w:val="20"/>
          <w:szCs w:val="20"/>
        </w:rPr>
      </w:pPr>
      <w:r w:rsidRPr="001B73EE">
        <w:rPr>
          <w:rFonts w:ascii="Arial" w:hAnsi="Arial" w:cs="Arial"/>
          <w:b/>
          <w:sz w:val="20"/>
          <w:szCs w:val="20"/>
        </w:rPr>
        <w:t xml:space="preserve">Joshua </w:t>
      </w:r>
      <w:proofErr w:type="spellStart"/>
      <w:r w:rsidRPr="001B73EE">
        <w:rPr>
          <w:rFonts w:ascii="Arial" w:hAnsi="Arial" w:cs="Arial"/>
          <w:b/>
          <w:sz w:val="20"/>
          <w:szCs w:val="20"/>
        </w:rPr>
        <w:t>Gindele</w:t>
      </w:r>
      <w:proofErr w:type="spellEnd"/>
      <w:r w:rsidRPr="001B73EE">
        <w:rPr>
          <w:rFonts w:ascii="Arial" w:hAnsi="Arial" w:cs="Arial"/>
          <w:b/>
          <w:sz w:val="20"/>
          <w:szCs w:val="20"/>
        </w:rPr>
        <w:t>, cello</w:t>
      </w:r>
    </w:p>
    <w:p w:rsidR="00E0073C" w:rsidRDefault="00E0073C" w:rsidP="00E0073C">
      <w:pPr>
        <w:pStyle w:val="Header"/>
        <w:tabs>
          <w:tab w:val="clear" w:pos="4320"/>
          <w:tab w:val="clear" w:pos="8640"/>
        </w:tabs>
        <w:jc w:val="center"/>
        <w:rPr>
          <w:rFonts w:ascii="Arial" w:hAnsi="Arial" w:cs="Arial"/>
          <w:b/>
          <w:sz w:val="20"/>
          <w:szCs w:val="20"/>
        </w:rPr>
      </w:pPr>
    </w:p>
    <w:p w:rsidR="00546627" w:rsidRDefault="00546627" w:rsidP="00E0073C">
      <w:pPr>
        <w:pStyle w:val="Header"/>
        <w:tabs>
          <w:tab w:val="clear" w:pos="4320"/>
          <w:tab w:val="clear" w:pos="8640"/>
        </w:tabs>
        <w:jc w:val="center"/>
        <w:rPr>
          <w:rFonts w:ascii="Arial" w:hAnsi="Arial" w:cs="Arial"/>
          <w:b/>
          <w:sz w:val="20"/>
          <w:szCs w:val="20"/>
        </w:rPr>
      </w:pPr>
    </w:p>
    <w:p w:rsidR="00E0073C" w:rsidRPr="00E85047" w:rsidRDefault="00E0073C" w:rsidP="00E0073C">
      <w:pPr>
        <w:pStyle w:val="Header"/>
        <w:tabs>
          <w:tab w:val="clear" w:pos="4320"/>
          <w:tab w:val="clear" w:pos="8640"/>
        </w:tabs>
        <w:jc w:val="center"/>
        <w:rPr>
          <w:rFonts w:ascii="Arial" w:hAnsi="Arial" w:cs="Arial"/>
          <w:b/>
          <w:sz w:val="20"/>
          <w:szCs w:val="20"/>
          <w:u w:val="single"/>
        </w:rPr>
      </w:pPr>
      <w:r w:rsidRPr="00E85047">
        <w:rPr>
          <w:rFonts w:ascii="Arial" w:hAnsi="Arial" w:cs="Arial"/>
          <w:b/>
          <w:sz w:val="20"/>
          <w:szCs w:val="20"/>
          <w:u w:val="single"/>
        </w:rPr>
        <w:t xml:space="preserve">Biography </w:t>
      </w:r>
      <w:r w:rsidR="001F39D5">
        <w:rPr>
          <w:rFonts w:ascii="Arial" w:hAnsi="Arial" w:cs="Arial"/>
          <w:b/>
          <w:sz w:val="20"/>
          <w:szCs w:val="20"/>
          <w:u w:val="single"/>
        </w:rPr>
        <w:t>– 500</w:t>
      </w:r>
    </w:p>
    <w:p w:rsidR="001F39D5" w:rsidRPr="001F39D5" w:rsidRDefault="001F39D5" w:rsidP="001F39D5">
      <w:pPr>
        <w:autoSpaceDE w:val="0"/>
        <w:autoSpaceDN w:val="0"/>
        <w:adjustRightInd w:val="0"/>
        <w:spacing w:line="360" w:lineRule="auto"/>
        <w:ind w:firstLine="720"/>
        <w:rPr>
          <w:rFonts w:ascii="Arial" w:eastAsia="Times New Roman" w:hAnsi="Arial" w:cs="Arial"/>
          <w:sz w:val="20"/>
          <w:szCs w:val="20"/>
        </w:rPr>
      </w:pPr>
    </w:p>
    <w:p w:rsidR="001F39D5" w:rsidRPr="001F39D5" w:rsidRDefault="001F39D5" w:rsidP="001F39D5">
      <w:pPr>
        <w:autoSpaceDE w:val="0"/>
        <w:autoSpaceDN w:val="0"/>
        <w:adjustRightInd w:val="0"/>
        <w:spacing w:line="360" w:lineRule="auto"/>
        <w:ind w:firstLine="720"/>
        <w:rPr>
          <w:rFonts w:ascii="Arial" w:eastAsia="Times New Roman" w:hAnsi="Arial" w:cs="Arial"/>
          <w:sz w:val="20"/>
          <w:szCs w:val="20"/>
        </w:rPr>
      </w:pPr>
      <w:r w:rsidRPr="001F39D5">
        <w:rPr>
          <w:rFonts w:ascii="Arial" w:eastAsia="Times New Roman" w:hAnsi="Arial" w:cs="Arial"/>
          <w:sz w:val="20"/>
          <w:szCs w:val="20"/>
        </w:rPr>
        <w:t xml:space="preserve">The </w:t>
      </w:r>
      <w:proofErr w:type="spellStart"/>
      <w:r w:rsidRPr="001F39D5">
        <w:rPr>
          <w:rFonts w:ascii="Arial" w:eastAsia="Times New Roman" w:hAnsi="Arial" w:cs="Arial"/>
          <w:sz w:val="20"/>
          <w:szCs w:val="20"/>
        </w:rPr>
        <w:t>Miró</w:t>
      </w:r>
      <w:proofErr w:type="spellEnd"/>
      <w:r w:rsidRPr="001F39D5">
        <w:rPr>
          <w:rFonts w:ascii="Arial" w:eastAsia="Times New Roman" w:hAnsi="Arial" w:cs="Arial"/>
          <w:sz w:val="20"/>
          <w:szCs w:val="20"/>
        </w:rPr>
        <w:t xml:space="preserve"> Quartet is one of America’s most celebrated string quartets, having performed throughout the world on the most prestigious concert stages. Based in Austin, TX, and thriving on the area’s storied music scene, the </w:t>
      </w:r>
      <w:proofErr w:type="spellStart"/>
      <w:r w:rsidRPr="001F39D5">
        <w:rPr>
          <w:rFonts w:ascii="Arial" w:eastAsia="Times New Roman" w:hAnsi="Arial" w:cs="Arial"/>
          <w:sz w:val="20"/>
          <w:szCs w:val="20"/>
        </w:rPr>
        <w:t>Miró</w:t>
      </w:r>
      <w:proofErr w:type="spellEnd"/>
      <w:r w:rsidRPr="001F39D5">
        <w:rPr>
          <w:rFonts w:ascii="Arial" w:eastAsia="Times New Roman" w:hAnsi="Arial" w:cs="Arial"/>
          <w:sz w:val="20"/>
          <w:szCs w:val="20"/>
        </w:rPr>
        <w:t xml:space="preserve"> takes pride in finding new ways to communicate with audiences of all backgrounds while cultivating the longstanding tradition of chamber music. </w:t>
      </w:r>
    </w:p>
    <w:p w:rsidR="00546627" w:rsidRDefault="001F39D5" w:rsidP="001F39D5">
      <w:pPr>
        <w:autoSpaceDE w:val="0"/>
        <w:autoSpaceDN w:val="0"/>
        <w:adjustRightInd w:val="0"/>
        <w:spacing w:line="360" w:lineRule="auto"/>
        <w:ind w:firstLine="720"/>
        <w:rPr>
          <w:rFonts w:ascii="Arial" w:eastAsia="Calibri" w:hAnsi="Arial" w:cs="Arial"/>
          <w:color w:val="000000"/>
          <w:sz w:val="20"/>
          <w:szCs w:val="20"/>
        </w:rPr>
      </w:pPr>
      <w:r w:rsidRPr="001F39D5">
        <w:rPr>
          <w:rFonts w:ascii="Arial" w:eastAsia="Times New Roman" w:hAnsi="Arial" w:cs="Arial"/>
          <w:sz w:val="20"/>
          <w:szCs w:val="20"/>
        </w:rPr>
        <w:t xml:space="preserve">The </w:t>
      </w:r>
      <w:proofErr w:type="spellStart"/>
      <w:r w:rsidRPr="001F39D5">
        <w:rPr>
          <w:rFonts w:ascii="Arial" w:eastAsia="Times New Roman" w:hAnsi="Arial" w:cs="Arial"/>
          <w:sz w:val="20"/>
          <w:szCs w:val="20"/>
        </w:rPr>
        <w:t>Miró</w:t>
      </w:r>
      <w:proofErr w:type="spellEnd"/>
      <w:r w:rsidRPr="001F39D5">
        <w:rPr>
          <w:rFonts w:ascii="Arial" w:eastAsia="Times New Roman" w:hAnsi="Arial" w:cs="Arial"/>
          <w:sz w:val="20"/>
          <w:szCs w:val="20"/>
        </w:rPr>
        <w:t xml:space="preserve"> celebrates its 25</w:t>
      </w:r>
      <w:r w:rsidRPr="001F39D5">
        <w:rPr>
          <w:rFonts w:ascii="Arial" w:eastAsia="Times New Roman" w:hAnsi="Arial" w:cs="Arial"/>
          <w:sz w:val="20"/>
          <w:szCs w:val="20"/>
          <w:vertAlign w:val="superscript"/>
        </w:rPr>
        <w:t>th</w:t>
      </w:r>
      <w:r w:rsidRPr="001F39D5">
        <w:rPr>
          <w:rFonts w:ascii="Arial" w:eastAsia="Times New Roman" w:hAnsi="Arial" w:cs="Arial"/>
          <w:sz w:val="20"/>
          <w:szCs w:val="20"/>
        </w:rPr>
        <w:t xml:space="preserve"> anniversary in 2019-20, performing a wide range of repertoire that pays homage to the legacy of the string quartet and also looks to the future of chamber music and string quartet playing in the U.S. In honor of the </w:t>
      </w:r>
      <w:r w:rsidRPr="001F39D5">
        <w:rPr>
          <w:rFonts w:ascii="Arial" w:eastAsia="Calibri" w:hAnsi="Arial" w:cs="Arial"/>
          <w:color w:val="000000"/>
          <w:sz w:val="20"/>
          <w:szCs w:val="20"/>
        </w:rPr>
        <w:t>250</w:t>
      </w:r>
      <w:r w:rsidRPr="001F39D5">
        <w:rPr>
          <w:rFonts w:ascii="Arial" w:eastAsia="Calibri" w:hAnsi="Arial" w:cs="Arial"/>
          <w:color w:val="000000"/>
          <w:sz w:val="20"/>
          <w:szCs w:val="20"/>
          <w:vertAlign w:val="superscript"/>
        </w:rPr>
        <w:t>th</w:t>
      </w:r>
      <w:r w:rsidRPr="001F39D5">
        <w:rPr>
          <w:rFonts w:ascii="Arial" w:eastAsia="Calibri" w:hAnsi="Arial" w:cs="Arial"/>
          <w:color w:val="000000"/>
          <w:sz w:val="20"/>
          <w:szCs w:val="20"/>
        </w:rPr>
        <w:t xml:space="preserve"> anniversary of Beethoven’s birth, the Quartet performs the composer’s complete string quartets at Chamber Music Northwest (previous cycles have taken place at Tokyo’s Suntory Hall, Chamber Music Tulsa, and the Orcas Island Chamber Music Festival in Washington State), and concludes its recording cycle of Beethoven’s complete string quartets with the release of a box set on </w:t>
      </w:r>
      <w:proofErr w:type="spellStart"/>
      <w:r w:rsidRPr="001F39D5">
        <w:rPr>
          <w:rFonts w:ascii="Arial" w:eastAsia="Calibri" w:hAnsi="Arial" w:cs="Arial"/>
          <w:color w:val="000000"/>
          <w:sz w:val="20"/>
          <w:szCs w:val="20"/>
        </w:rPr>
        <w:t>Pentatone</w:t>
      </w:r>
      <w:proofErr w:type="spellEnd"/>
      <w:r w:rsidRPr="001F39D5">
        <w:rPr>
          <w:rFonts w:ascii="Arial" w:eastAsia="Calibri" w:hAnsi="Arial" w:cs="Arial"/>
          <w:color w:val="000000"/>
          <w:sz w:val="20"/>
          <w:szCs w:val="20"/>
        </w:rPr>
        <w:t xml:space="preserve"> in November 2019.</w:t>
      </w:r>
      <w:r w:rsidR="00546627">
        <w:rPr>
          <w:rFonts w:ascii="Arial" w:eastAsia="Calibri" w:hAnsi="Arial" w:cs="Arial"/>
          <w:color w:val="000000"/>
          <w:sz w:val="20"/>
          <w:szCs w:val="20"/>
        </w:rPr>
        <w:t xml:space="preserve"> </w:t>
      </w:r>
    </w:p>
    <w:p w:rsidR="001F39D5" w:rsidRPr="001F39D5" w:rsidRDefault="001F39D5" w:rsidP="001F39D5">
      <w:pPr>
        <w:autoSpaceDE w:val="0"/>
        <w:autoSpaceDN w:val="0"/>
        <w:adjustRightInd w:val="0"/>
        <w:spacing w:line="360" w:lineRule="auto"/>
        <w:ind w:firstLine="720"/>
        <w:rPr>
          <w:rFonts w:ascii="Arial" w:eastAsia="Calibri" w:hAnsi="Arial" w:cs="Arial"/>
          <w:color w:val="000000"/>
          <w:sz w:val="20"/>
          <w:szCs w:val="20"/>
        </w:rPr>
      </w:pPr>
      <w:bookmarkStart w:id="0" w:name="_GoBack"/>
      <w:bookmarkEnd w:id="0"/>
      <w:r w:rsidRPr="001F39D5">
        <w:rPr>
          <w:rFonts w:ascii="Arial" w:eastAsia="Calibri" w:hAnsi="Arial" w:cs="Arial"/>
          <w:color w:val="000000"/>
          <w:sz w:val="20"/>
          <w:szCs w:val="20"/>
        </w:rPr>
        <w:t xml:space="preserve">The Quartet also continues its </w:t>
      </w:r>
      <w:r w:rsidRPr="001F39D5">
        <w:rPr>
          <w:rFonts w:ascii="Arial" w:eastAsia="Calibri" w:hAnsi="Arial" w:cs="Arial"/>
          <w:sz w:val="20"/>
          <w:szCs w:val="20"/>
        </w:rPr>
        <w:t xml:space="preserve">Archive Project, honoring </w:t>
      </w:r>
      <w:r w:rsidRPr="001F39D5">
        <w:rPr>
          <w:rFonts w:ascii="Arial" w:eastAsia="Calibri" w:hAnsi="Arial" w:cs="Arial"/>
          <w:color w:val="000000"/>
          <w:sz w:val="20"/>
          <w:szCs w:val="20"/>
        </w:rPr>
        <w:t>the American string quartet tradition by recreating historic recitals by early 20</w:t>
      </w:r>
      <w:r w:rsidRPr="001F39D5">
        <w:rPr>
          <w:rFonts w:ascii="Arial" w:eastAsia="Calibri" w:hAnsi="Arial" w:cs="Arial"/>
          <w:color w:val="000000"/>
          <w:sz w:val="20"/>
          <w:szCs w:val="20"/>
          <w:vertAlign w:val="superscript"/>
        </w:rPr>
        <w:t>th</w:t>
      </w:r>
      <w:r w:rsidRPr="001F39D5">
        <w:rPr>
          <w:rFonts w:ascii="Arial" w:eastAsia="Calibri" w:hAnsi="Arial" w:cs="Arial"/>
          <w:color w:val="000000"/>
          <w:sz w:val="20"/>
          <w:szCs w:val="20"/>
        </w:rPr>
        <w:t xml:space="preserve">-century ensembles, including the </w:t>
      </w:r>
      <w:proofErr w:type="spellStart"/>
      <w:r w:rsidRPr="001F39D5">
        <w:rPr>
          <w:rFonts w:ascii="Arial" w:eastAsia="Calibri" w:hAnsi="Arial" w:cs="Arial"/>
          <w:color w:val="000000"/>
          <w:sz w:val="20"/>
          <w:szCs w:val="20"/>
        </w:rPr>
        <w:t>Flonzaley</w:t>
      </w:r>
      <w:proofErr w:type="spellEnd"/>
      <w:r w:rsidRPr="001F39D5">
        <w:rPr>
          <w:rFonts w:ascii="Arial" w:eastAsia="Calibri" w:hAnsi="Arial" w:cs="Arial"/>
          <w:color w:val="000000"/>
          <w:sz w:val="20"/>
          <w:szCs w:val="20"/>
        </w:rPr>
        <w:t xml:space="preserve">, </w:t>
      </w:r>
      <w:proofErr w:type="spellStart"/>
      <w:r w:rsidRPr="001F39D5">
        <w:rPr>
          <w:rFonts w:ascii="Arial" w:eastAsia="Calibri" w:hAnsi="Arial" w:cs="Arial"/>
          <w:color w:val="000000"/>
          <w:sz w:val="20"/>
          <w:szCs w:val="20"/>
        </w:rPr>
        <w:t>Kneisel</w:t>
      </w:r>
      <w:proofErr w:type="spellEnd"/>
      <w:r w:rsidRPr="001F39D5">
        <w:rPr>
          <w:rFonts w:ascii="Arial" w:eastAsia="Calibri" w:hAnsi="Arial" w:cs="Arial"/>
          <w:color w:val="000000"/>
          <w:sz w:val="20"/>
          <w:szCs w:val="20"/>
        </w:rPr>
        <w:t xml:space="preserve">, and </w:t>
      </w:r>
      <w:proofErr w:type="spellStart"/>
      <w:r w:rsidRPr="001F39D5">
        <w:rPr>
          <w:rFonts w:ascii="Arial" w:eastAsia="Calibri" w:hAnsi="Arial" w:cs="Arial"/>
          <w:color w:val="000000"/>
          <w:sz w:val="20"/>
          <w:szCs w:val="20"/>
        </w:rPr>
        <w:t>Kolisch</w:t>
      </w:r>
      <w:proofErr w:type="spellEnd"/>
      <w:r w:rsidRPr="001F39D5">
        <w:rPr>
          <w:rFonts w:ascii="Arial" w:eastAsia="Calibri" w:hAnsi="Arial" w:cs="Arial"/>
          <w:color w:val="000000"/>
          <w:sz w:val="20"/>
          <w:szCs w:val="20"/>
        </w:rPr>
        <w:t xml:space="preserve"> Quartets. This season, the </w:t>
      </w:r>
      <w:proofErr w:type="spellStart"/>
      <w:r w:rsidRPr="001F39D5">
        <w:rPr>
          <w:rFonts w:ascii="Arial" w:eastAsia="Calibri" w:hAnsi="Arial" w:cs="Arial"/>
          <w:color w:val="000000"/>
          <w:sz w:val="20"/>
          <w:szCs w:val="20"/>
        </w:rPr>
        <w:t>Miró</w:t>
      </w:r>
      <w:proofErr w:type="spellEnd"/>
      <w:r w:rsidRPr="001F39D5">
        <w:rPr>
          <w:rFonts w:ascii="Arial" w:eastAsia="Calibri" w:hAnsi="Arial" w:cs="Arial"/>
          <w:color w:val="000000"/>
          <w:sz w:val="20"/>
          <w:szCs w:val="20"/>
        </w:rPr>
        <w:t xml:space="preserve"> performs a program, conceived by the </w:t>
      </w:r>
      <w:proofErr w:type="spellStart"/>
      <w:r w:rsidRPr="001F39D5">
        <w:rPr>
          <w:rFonts w:ascii="Arial" w:eastAsia="Calibri" w:hAnsi="Arial" w:cs="Arial"/>
          <w:color w:val="000000"/>
          <w:sz w:val="20"/>
          <w:szCs w:val="20"/>
        </w:rPr>
        <w:t>Kneisel</w:t>
      </w:r>
      <w:proofErr w:type="spellEnd"/>
      <w:r w:rsidRPr="001F39D5">
        <w:rPr>
          <w:rFonts w:ascii="Arial" w:eastAsia="Calibri" w:hAnsi="Arial" w:cs="Arial"/>
          <w:color w:val="000000"/>
          <w:sz w:val="20"/>
          <w:szCs w:val="20"/>
        </w:rPr>
        <w:t xml:space="preserve"> Quartet for its own 25</w:t>
      </w:r>
      <w:r w:rsidRPr="001F39D5">
        <w:rPr>
          <w:rFonts w:ascii="Arial" w:eastAsia="Calibri" w:hAnsi="Arial" w:cs="Arial"/>
          <w:color w:val="000000"/>
          <w:sz w:val="20"/>
          <w:szCs w:val="20"/>
          <w:vertAlign w:val="superscript"/>
        </w:rPr>
        <w:t>th</w:t>
      </w:r>
      <w:r w:rsidRPr="001F39D5">
        <w:rPr>
          <w:rFonts w:ascii="Arial" w:eastAsia="Calibri" w:hAnsi="Arial" w:cs="Arial"/>
          <w:color w:val="000000"/>
          <w:sz w:val="20"/>
          <w:szCs w:val="20"/>
        </w:rPr>
        <w:t xml:space="preserve"> anniversary in 1910, f</w:t>
      </w:r>
      <w:r w:rsidRPr="001F39D5">
        <w:rPr>
          <w:rFonts w:ascii="Arial" w:eastAsia="Times New Roman" w:hAnsi="Arial" w:cs="Arial"/>
          <w:color w:val="222222"/>
          <w:sz w:val="20"/>
          <w:szCs w:val="20"/>
        </w:rPr>
        <w:t xml:space="preserve">eaturing works by Mozart, Schubert, </w:t>
      </w:r>
      <w:proofErr w:type="spellStart"/>
      <w:r w:rsidRPr="001F39D5">
        <w:rPr>
          <w:rFonts w:ascii="Arial" w:eastAsia="Times New Roman" w:hAnsi="Arial" w:cs="Arial"/>
          <w:color w:val="222222"/>
          <w:sz w:val="20"/>
          <w:szCs w:val="20"/>
        </w:rPr>
        <w:t>Glière</w:t>
      </w:r>
      <w:proofErr w:type="spellEnd"/>
      <w:r w:rsidRPr="001F39D5">
        <w:rPr>
          <w:rFonts w:ascii="Arial" w:eastAsia="Times New Roman" w:hAnsi="Arial" w:cs="Arial"/>
          <w:color w:val="222222"/>
          <w:sz w:val="20"/>
          <w:szCs w:val="20"/>
        </w:rPr>
        <w:t xml:space="preserve">, Franck, and </w:t>
      </w:r>
      <w:proofErr w:type="spellStart"/>
      <w:r w:rsidRPr="001F39D5">
        <w:rPr>
          <w:rFonts w:ascii="Arial" w:eastAsia="Times New Roman" w:hAnsi="Arial" w:cs="Arial"/>
          <w:color w:val="222222"/>
          <w:sz w:val="20"/>
          <w:szCs w:val="20"/>
        </w:rPr>
        <w:t>Servais</w:t>
      </w:r>
      <w:proofErr w:type="spellEnd"/>
      <w:r w:rsidRPr="001F39D5">
        <w:rPr>
          <w:rFonts w:ascii="Arial" w:eastAsia="Times New Roman" w:hAnsi="Arial" w:cs="Arial"/>
          <w:color w:val="222222"/>
          <w:sz w:val="20"/>
          <w:szCs w:val="20"/>
        </w:rPr>
        <w:t xml:space="preserve">, at </w:t>
      </w:r>
      <w:r w:rsidRPr="001F39D5">
        <w:rPr>
          <w:rFonts w:ascii="Arial" w:eastAsia="Calibri" w:hAnsi="Arial" w:cs="Arial"/>
          <w:color w:val="000000"/>
          <w:sz w:val="20"/>
          <w:szCs w:val="20"/>
        </w:rPr>
        <w:t xml:space="preserve">Carnegie’s Weill Hall and the Library of Congress in Washington, DC; as well as in Toronto, ON; Troy, NY; and Clemson, SC. The </w:t>
      </w:r>
      <w:proofErr w:type="spellStart"/>
      <w:r w:rsidRPr="001F39D5">
        <w:rPr>
          <w:rFonts w:ascii="Arial" w:eastAsia="Calibri" w:hAnsi="Arial" w:cs="Arial"/>
          <w:color w:val="000000"/>
          <w:sz w:val="20"/>
          <w:szCs w:val="20"/>
        </w:rPr>
        <w:t>Miró</w:t>
      </w:r>
      <w:proofErr w:type="spellEnd"/>
      <w:r w:rsidRPr="001F39D5">
        <w:rPr>
          <w:rFonts w:ascii="Arial" w:eastAsia="Calibri" w:hAnsi="Arial" w:cs="Arial"/>
          <w:color w:val="000000"/>
          <w:sz w:val="20"/>
          <w:szCs w:val="20"/>
        </w:rPr>
        <w:t xml:space="preserve"> also performs a program by the </w:t>
      </w:r>
      <w:proofErr w:type="spellStart"/>
      <w:r w:rsidRPr="001F39D5">
        <w:rPr>
          <w:rFonts w:ascii="Arial" w:eastAsia="Calibri" w:hAnsi="Arial" w:cs="Arial"/>
          <w:color w:val="000000"/>
          <w:sz w:val="20"/>
          <w:szCs w:val="20"/>
        </w:rPr>
        <w:t>Kolisch</w:t>
      </w:r>
      <w:proofErr w:type="spellEnd"/>
      <w:r w:rsidRPr="001F39D5">
        <w:rPr>
          <w:rFonts w:ascii="Arial" w:eastAsia="Calibri" w:hAnsi="Arial" w:cs="Arial"/>
          <w:color w:val="000000"/>
          <w:sz w:val="20"/>
          <w:szCs w:val="20"/>
        </w:rPr>
        <w:t xml:space="preserve"> </w:t>
      </w:r>
      <w:r w:rsidRPr="001F39D5">
        <w:rPr>
          <w:rFonts w:ascii="Arial" w:eastAsia="Times New Roman" w:hAnsi="Arial" w:cs="Arial"/>
          <w:color w:val="000000"/>
          <w:sz w:val="20"/>
          <w:szCs w:val="20"/>
        </w:rPr>
        <w:t xml:space="preserve">Quartet, featuring </w:t>
      </w:r>
      <w:proofErr w:type="spellStart"/>
      <w:r w:rsidRPr="001F39D5">
        <w:rPr>
          <w:rFonts w:ascii="Arial" w:eastAsia="Times New Roman" w:hAnsi="Arial" w:cs="Arial"/>
          <w:color w:val="000000"/>
          <w:sz w:val="20"/>
          <w:szCs w:val="20"/>
        </w:rPr>
        <w:t>Bartók's</w:t>
      </w:r>
      <w:proofErr w:type="spellEnd"/>
      <w:r w:rsidRPr="001F39D5">
        <w:rPr>
          <w:rFonts w:ascii="Arial" w:eastAsia="Times New Roman" w:hAnsi="Arial" w:cs="Arial"/>
          <w:color w:val="000000"/>
          <w:sz w:val="20"/>
          <w:szCs w:val="20"/>
        </w:rPr>
        <w:t xml:space="preserve"> Quartet No. 5 and Berg's </w:t>
      </w:r>
      <w:r w:rsidRPr="001F39D5">
        <w:rPr>
          <w:rFonts w:ascii="Arial" w:eastAsia="Times New Roman" w:hAnsi="Arial" w:cs="Arial"/>
          <w:i/>
          <w:color w:val="000000"/>
          <w:sz w:val="20"/>
          <w:szCs w:val="20"/>
        </w:rPr>
        <w:t>Lyric Suite,</w:t>
      </w:r>
      <w:r w:rsidRPr="001F39D5">
        <w:rPr>
          <w:rFonts w:ascii="Arial" w:eastAsia="Times New Roman" w:hAnsi="Arial" w:cs="Arial"/>
          <w:color w:val="000000"/>
          <w:sz w:val="20"/>
          <w:szCs w:val="20"/>
        </w:rPr>
        <w:t xml:space="preserve"> in Austin, TX and Indianapolis, IN. </w:t>
      </w:r>
    </w:p>
    <w:p w:rsidR="001F39D5" w:rsidRPr="001F39D5" w:rsidRDefault="001F39D5" w:rsidP="001F39D5">
      <w:pPr>
        <w:autoSpaceDE w:val="0"/>
        <w:autoSpaceDN w:val="0"/>
        <w:adjustRightInd w:val="0"/>
        <w:spacing w:line="360" w:lineRule="auto"/>
        <w:ind w:firstLine="720"/>
        <w:rPr>
          <w:rFonts w:ascii="Arial" w:eastAsia="MS Mincho" w:hAnsi="Arial" w:cs="Arial"/>
          <w:color w:val="000000"/>
          <w:sz w:val="20"/>
          <w:szCs w:val="20"/>
        </w:rPr>
      </w:pPr>
      <w:r w:rsidRPr="001F39D5">
        <w:rPr>
          <w:rFonts w:ascii="Arial" w:eastAsia="Calibri" w:hAnsi="Arial" w:cs="Arial"/>
          <w:color w:val="000000"/>
          <w:sz w:val="20"/>
          <w:szCs w:val="20"/>
        </w:rPr>
        <w:t xml:space="preserve">The </w:t>
      </w:r>
      <w:proofErr w:type="spellStart"/>
      <w:r w:rsidRPr="001F39D5">
        <w:rPr>
          <w:rFonts w:ascii="Arial" w:eastAsia="Calibri" w:hAnsi="Arial" w:cs="Arial"/>
          <w:color w:val="000000"/>
          <w:sz w:val="20"/>
          <w:szCs w:val="20"/>
        </w:rPr>
        <w:t>Miró</w:t>
      </w:r>
      <w:proofErr w:type="spellEnd"/>
      <w:r w:rsidRPr="001F39D5">
        <w:rPr>
          <w:rFonts w:ascii="Arial" w:eastAsia="Calibri" w:hAnsi="Arial" w:cs="Arial"/>
          <w:color w:val="000000"/>
          <w:sz w:val="20"/>
          <w:szCs w:val="20"/>
        </w:rPr>
        <w:t xml:space="preserve"> Quartet has championed the music of </w:t>
      </w:r>
      <w:r w:rsidRPr="001F39D5">
        <w:rPr>
          <w:rFonts w:ascii="Arial" w:eastAsia="Times New Roman" w:hAnsi="Arial" w:cs="Arial"/>
          <w:sz w:val="20"/>
          <w:szCs w:val="20"/>
        </w:rPr>
        <w:t xml:space="preserve">Pulitzer Prize-winning composer Kevin Puts for more than a decade, and this season it premieres a new </w:t>
      </w:r>
      <w:r w:rsidRPr="001F39D5">
        <w:rPr>
          <w:rFonts w:ascii="Arial" w:eastAsia="Calibri" w:hAnsi="Arial" w:cs="Arial"/>
          <w:color w:val="000000"/>
          <w:sz w:val="20"/>
          <w:szCs w:val="20"/>
        </w:rPr>
        <w:t xml:space="preserve">string quartet titled </w:t>
      </w:r>
      <w:r w:rsidRPr="001F39D5">
        <w:rPr>
          <w:rFonts w:ascii="Arial" w:eastAsia="Calibri" w:hAnsi="Arial" w:cs="Arial"/>
          <w:i/>
          <w:color w:val="000000"/>
          <w:sz w:val="20"/>
          <w:szCs w:val="20"/>
        </w:rPr>
        <w:t>Home</w:t>
      </w:r>
      <w:r w:rsidRPr="001F39D5">
        <w:rPr>
          <w:rFonts w:ascii="Arial" w:eastAsia="Calibri" w:hAnsi="Arial" w:cs="Arial"/>
          <w:color w:val="000000"/>
          <w:sz w:val="20"/>
          <w:szCs w:val="20"/>
        </w:rPr>
        <w:t>, composed by Mr. Puts for</w:t>
      </w:r>
      <w:r w:rsidRPr="001F39D5">
        <w:rPr>
          <w:rFonts w:ascii="Arial" w:eastAsia="Times New Roman" w:hAnsi="Arial" w:cs="Arial"/>
          <w:sz w:val="20"/>
          <w:szCs w:val="20"/>
        </w:rPr>
        <w:t xml:space="preserve"> the </w:t>
      </w:r>
      <w:proofErr w:type="spellStart"/>
      <w:r w:rsidRPr="001F39D5">
        <w:rPr>
          <w:rFonts w:ascii="Arial" w:eastAsia="Calibri" w:hAnsi="Arial" w:cs="Arial"/>
          <w:color w:val="000000"/>
          <w:sz w:val="20"/>
          <w:szCs w:val="20"/>
        </w:rPr>
        <w:t>Miró</w:t>
      </w:r>
      <w:r w:rsidRPr="001F39D5">
        <w:rPr>
          <w:rFonts w:ascii="Arial" w:eastAsia="Times New Roman" w:hAnsi="Arial" w:cs="Arial"/>
          <w:sz w:val="20"/>
          <w:szCs w:val="20"/>
        </w:rPr>
        <w:t>’s</w:t>
      </w:r>
      <w:proofErr w:type="spellEnd"/>
      <w:r w:rsidRPr="001F39D5">
        <w:rPr>
          <w:rFonts w:ascii="Arial" w:eastAsia="Times New Roman" w:hAnsi="Arial" w:cs="Arial"/>
          <w:sz w:val="20"/>
          <w:szCs w:val="20"/>
        </w:rPr>
        <w:t xml:space="preserve"> 25</w:t>
      </w:r>
      <w:r w:rsidRPr="001F39D5">
        <w:rPr>
          <w:rFonts w:ascii="Arial" w:eastAsia="Times New Roman" w:hAnsi="Arial" w:cs="Arial"/>
          <w:sz w:val="20"/>
          <w:szCs w:val="20"/>
          <w:vertAlign w:val="superscript"/>
        </w:rPr>
        <w:t>th</w:t>
      </w:r>
      <w:r w:rsidRPr="001F39D5">
        <w:rPr>
          <w:rFonts w:ascii="Arial" w:eastAsia="Times New Roman" w:hAnsi="Arial" w:cs="Arial"/>
          <w:sz w:val="20"/>
          <w:szCs w:val="20"/>
        </w:rPr>
        <w:t xml:space="preserve"> anniversary. The work is presented by a consortium of commissioning partners, including the </w:t>
      </w:r>
      <w:r w:rsidRPr="001F39D5">
        <w:rPr>
          <w:rFonts w:ascii="Arial" w:eastAsia="Calibri" w:hAnsi="Arial" w:cs="Arial"/>
          <w:color w:val="000000"/>
          <w:sz w:val="20"/>
          <w:szCs w:val="20"/>
        </w:rPr>
        <w:t xml:space="preserve">Orcas Island Chamber Music Festival (world premiere), Chamber Music Detroit, and Chamber Music Tulsa. The </w:t>
      </w:r>
      <w:proofErr w:type="spellStart"/>
      <w:r w:rsidRPr="001F39D5">
        <w:rPr>
          <w:rFonts w:ascii="Arial" w:eastAsia="Calibri" w:hAnsi="Arial" w:cs="Arial"/>
          <w:color w:val="000000"/>
          <w:sz w:val="20"/>
          <w:szCs w:val="20"/>
        </w:rPr>
        <w:t>Miró</w:t>
      </w:r>
      <w:proofErr w:type="spellEnd"/>
      <w:r w:rsidRPr="001F39D5">
        <w:rPr>
          <w:rFonts w:ascii="Arial" w:eastAsia="Calibri" w:hAnsi="Arial" w:cs="Arial"/>
          <w:color w:val="000000"/>
          <w:sz w:val="20"/>
          <w:szCs w:val="20"/>
        </w:rPr>
        <w:t xml:space="preserve"> also continues to perform </w:t>
      </w:r>
      <w:r w:rsidRPr="001F39D5">
        <w:rPr>
          <w:rFonts w:ascii="Arial" w:eastAsia="Calibri" w:hAnsi="Arial" w:cs="Arial"/>
          <w:i/>
          <w:color w:val="000000"/>
          <w:sz w:val="20"/>
          <w:szCs w:val="20"/>
        </w:rPr>
        <w:t>Credo</w:t>
      </w:r>
      <w:r w:rsidRPr="001F39D5">
        <w:rPr>
          <w:rFonts w:ascii="Arial" w:eastAsia="Calibri" w:hAnsi="Arial" w:cs="Arial"/>
          <w:color w:val="000000"/>
          <w:sz w:val="20"/>
          <w:szCs w:val="20"/>
        </w:rPr>
        <w:t xml:space="preserve">, the composer’s first work written for them (and featured on the recording </w:t>
      </w:r>
      <w:r w:rsidRPr="001F39D5">
        <w:rPr>
          <w:rFonts w:ascii="Arial" w:eastAsia="Calibri" w:hAnsi="Arial" w:cs="Arial"/>
          <w:i/>
          <w:color w:val="000000"/>
          <w:sz w:val="20"/>
          <w:szCs w:val="20"/>
        </w:rPr>
        <w:t xml:space="preserve">The </w:t>
      </w:r>
      <w:proofErr w:type="spellStart"/>
      <w:r w:rsidRPr="001F39D5">
        <w:rPr>
          <w:rFonts w:ascii="Arial" w:eastAsia="Calibri" w:hAnsi="Arial" w:cs="Arial"/>
          <w:i/>
          <w:color w:val="000000"/>
          <w:sz w:val="20"/>
          <w:szCs w:val="20"/>
        </w:rPr>
        <w:t>Miró</w:t>
      </w:r>
      <w:proofErr w:type="spellEnd"/>
      <w:r w:rsidRPr="001F39D5">
        <w:rPr>
          <w:rFonts w:ascii="Arial" w:eastAsia="Calibri" w:hAnsi="Arial" w:cs="Arial"/>
          <w:i/>
          <w:color w:val="000000"/>
          <w:sz w:val="20"/>
          <w:szCs w:val="20"/>
        </w:rPr>
        <w:t xml:space="preserve"> Quartet Live!</w:t>
      </w:r>
      <w:r w:rsidRPr="001F39D5">
        <w:rPr>
          <w:rFonts w:ascii="Arial" w:eastAsia="Calibri" w:hAnsi="Arial" w:cs="Arial"/>
          <w:color w:val="000000"/>
          <w:sz w:val="20"/>
          <w:szCs w:val="20"/>
        </w:rPr>
        <w:t xml:space="preserve">) in cities across the U.S. </w:t>
      </w:r>
      <w:r w:rsidRPr="001F39D5">
        <w:rPr>
          <w:rFonts w:ascii="Arial" w:eastAsia="MS Mincho" w:hAnsi="Arial" w:cs="Arial"/>
          <w:color w:val="000000"/>
          <w:sz w:val="20"/>
          <w:szCs w:val="20"/>
        </w:rPr>
        <w:t xml:space="preserve">Among its other recordings is </w:t>
      </w:r>
      <w:r w:rsidRPr="001F39D5">
        <w:rPr>
          <w:rFonts w:ascii="Arial" w:eastAsia="MS Mincho" w:hAnsi="Arial" w:cs="Arial"/>
          <w:i/>
          <w:color w:val="000000"/>
          <w:sz w:val="20"/>
          <w:szCs w:val="20"/>
        </w:rPr>
        <w:t xml:space="preserve">Schubert Interrupted </w:t>
      </w:r>
      <w:r w:rsidRPr="001F39D5">
        <w:rPr>
          <w:rFonts w:ascii="Arial" w:eastAsia="MS Mincho" w:hAnsi="Arial" w:cs="Arial"/>
          <w:color w:val="000000"/>
          <w:sz w:val="20"/>
          <w:szCs w:val="20"/>
        </w:rPr>
        <w:t xml:space="preserve">featuring the composer’s “Death and the Maiden” quartet and song with mezzo-soprano Sasha Cooke; and the </w:t>
      </w:r>
      <w:proofErr w:type="spellStart"/>
      <w:r w:rsidRPr="001F39D5">
        <w:rPr>
          <w:rFonts w:ascii="Arial" w:eastAsia="MS Mincho" w:hAnsi="Arial" w:cs="Arial"/>
          <w:color w:val="000000"/>
          <w:sz w:val="20"/>
          <w:szCs w:val="20"/>
        </w:rPr>
        <w:t>Miró</w:t>
      </w:r>
      <w:proofErr w:type="spellEnd"/>
      <w:r w:rsidRPr="001F39D5">
        <w:rPr>
          <w:rFonts w:ascii="Arial" w:eastAsia="MS Mincho" w:hAnsi="Arial" w:cs="Arial"/>
          <w:color w:val="000000"/>
          <w:sz w:val="20"/>
          <w:szCs w:val="20"/>
        </w:rPr>
        <w:t xml:space="preserve"> is featured in </w:t>
      </w:r>
      <w:r w:rsidRPr="001F39D5">
        <w:rPr>
          <w:rFonts w:ascii="Arial" w:eastAsia="MS Mincho" w:hAnsi="Arial" w:cs="Arial"/>
          <w:i/>
          <w:iCs/>
          <w:color w:val="000000"/>
          <w:sz w:val="20"/>
          <w:szCs w:val="20"/>
        </w:rPr>
        <w:t>Transcendence,</w:t>
      </w:r>
      <w:r w:rsidRPr="001F39D5">
        <w:rPr>
          <w:rFonts w:ascii="Arial" w:eastAsia="MS Mincho" w:hAnsi="Arial" w:cs="Arial"/>
          <w:color w:val="000000"/>
          <w:sz w:val="20"/>
          <w:szCs w:val="20"/>
        </w:rPr>
        <w:t xml:space="preserve"> an Emmy Award-winning documentary and multimedia project centered around a performance of Schubert’s Quartet in G major on rare Stradivarius and Guarneri instruments. </w:t>
      </w:r>
    </w:p>
    <w:p w:rsidR="001F39D5" w:rsidRDefault="001F39D5" w:rsidP="001F39D5">
      <w:pPr>
        <w:autoSpaceDE w:val="0"/>
        <w:autoSpaceDN w:val="0"/>
        <w:adjustRightInd w:val="0"/>
        <w:spacing w:line="360" w:lineRule="auto"/>
        <w:ind w:firstLine="720"/>
        <w:rPr>
          <w:rFonts w:ascii="Arial" w:eastAsia="Times New Roman" w:hAnsi="Arial" w:cs="Arial"/>
          <w:sz w:val="20"/>
          <w:szCs w:val="20"/>
        </w:rPr>
      </w:pPr>
      <w:r w:rsidRPr="001F39D5">
        <w:rPr>
          <w:rFonts w:ascii="Arial" w:eastAsia="Calibri" w:hAnsi="Arial" w:cs="Arial"/>
          <w:color w:val="000000"/>
          <w:sz w:val="20"/>
          <w:szCs w:val="20"/>
        </w:rPr>
        <w:t xml:space="preserve">Formed in 1995, the </w:t>
      </w:r>
      <w:proofErr w:type="spellStart"/>
      <w:r w:rsidRPr="001F39D5">
        <w:rPr>
          <w:rFonts w:ascii="Arial" w:eastAsia="Calibri" w:hAnsi="Arial" w:cs="Arial"/>
          <w:color w:val="000000"/>
          <w:sz w:val="20"/>
          <w:szCs w:val="20"/>
        </w:rPr>
        <w:t>Miró</w:t>
      </w:r>
      <w:proofErr w:type="spellEnd"/>
      <w:r w:rsidRPr="001F39D5">
        <w:rPr>
          <w:rFonts w:ascii="Arial" w:eastAsia="Calibri" w:hAnsi="Arial" w:cs="Arial"/>
          <w:color w:val="000000"/>
          <w:sz w:val="20"/>
          <w:szCs w:val="20"/>
        </w:rPr>
        <w:t xml:space="preserve"> has been awarded first prize at several competitions including the Banff International String Quartet Competition and </w:t>
      </w:r>
      <w:proofErr w:type="spellStart"/>
      <w:r w:rsidRPr="001F39D5">
        <w:rPr>
          <w:rFonts w:ascii="Arial" w:eastAsia="Calibri" w:hAnsi="Arial" w:cs="Arial"/>
          <w:color w:val="000000"/>
          <w:sz w:val="20"/>
          <w:szCs w:val="20"/>
        </w:rPr>
        <w:t>Naumburg</w:t>
      </w:r>
      <w:proofErr w:type="spellEnd"/>
      <w:r w:rsidRPr="001F39D5">
        <w:rPr>
          <w:rFonts w:ascii="Arial" w:eastAsia="Calibri" w:hAnsi="Arial" w:cs="Arial"/>
          <w:color w:val="000000"/>
          <w:sz w:val="20"/>
          <w:szCs w:val="20"/>
        </w:rPr>
        <w:t xml:space="preserve"> Chamber Music Competition; and in 2005, </w:t>
      </w:r>
      <w:r w:rsidRPr="001F39D5">
        <w:rPr>
          <w:rFonts w:ascii="Arial" w:eastAsia="Calibri" w:hAnsi="Arial" w:cs="Arial"/>
          <w:color w:val="000000"/>
          <w:sz w:val="20"/>
          <w:szCs w:val="20"/>
        </w:rPr>
        <w:lastRenderedPageBreak/>
        <w:t xml:space="preserve">became the first ensemble ever to be awarded an Avery Fisher Career Grant. </w:t>
      </w:r>
      <w:r w:rsidRPr="001F39D5">
        <w:rPr>
          <w:rFonts w:ascii="Arial" w:eastAsia="Times New Roman" w:hAnsi="Arial" w:cs="Arial"/>
          <w:sz w:val="20"/>
          <w:szCs w:val="20"/>
        </w:rPr>
        <w:t xml:space="preserve">Committed to music education, members of the </w:t>
      </w:r>
      <w:proofErr w:type="spellStart"/>
      <w:r w:rsidRPr="001F39D5">
        <w:rPr>
          <w:rFonts w:ascii="Arial" w:eastAsia="Times New Roman" w:hAnsi="Arial" w:cs="Arial"/>
          <w:sz w:val="20"/>
          <w:szCs w:val="20"/>
        </w:rPr>
        <w:t>Miró</w:t>
      </w:r>
      <w:proofErr w:type="spellEnd"/>
      <w:r w:rsidRPr="001F39D5">
        <w:rPr>
          <w:rFonts w:ascii="Arial" w:eastAsia="Times New Roman" w:hAnsi="Arial" w:cs="Arial"/>
          <w:sz w:val="20"/>
          <w:szCs w:val="20"/>
        </w:rPr>
        <w:t xml:space="preserve"> has given master classes at universities and conservatories throughout the world; and since 2003, has served as faculty string quartet-in-residence at the Butler School of Music at the University of Texas, Austin</w:t>
      </w:r>
      <w:r>
        <w:rPr>
          <w:rFonts w:ascii="Arial" w:eastAsia="Times New Roman" w:hAnsi="Arial" w:cs="Arial"/>
          <w:sz w:val="20"/>
          <w:szCs w:val="20"/>
        </w:rPr>
        <w:t xml:space="preserve">. </w:t>
      </w:r>
    </w:p>
    <w:p w:rsidR="001F39D5" w:rsidRPr="001F39D5" w:rsidRDefault="001F39D5" w:rsidP="001F39D5">
      <w:pPr>
        <w:autoSpaceDE w:val="0"/>
        <w:autoSpaceDN w:val="0"/>
        <w:adjustRightInd w:val="0"/>
        <w:spacing w:line="360" w:lineRule="auto"/>
        <w:ind w:firstLine="720"/>
        <w:jc w:val="right"/>
        <w:rPr>
          <w:rFonts w:ascii="Arial" w:eastAsia="Times New Roman" w:hAnsi="Arial" w:cs="Arial"/>
          <w:sz w:val="20"/>
          <w:szCs w:val="20"/>
        </w:rPr>
      </w:pPr>
      <w:r>
        <w:rPr>
          <w:rFonts w:ascii="Arial" w:eastAsia="Times New Roman" w:hAnsi="Arial" w:cs="Arial"/>
          <w:sz w:val="20"/>
          <w:szCs w:val="20"/>
        </w:rPr>
        <w:t>-- November 2019</w:t>
      </w:r>
    </w:p>
    <w:p w:rsidR="001F39D5" w:rsidRPr="001F39D5" w:rsidRDefault="001F39D5" w:rsidP="001F39D5">
      <w:pPr>
        <w:rPr>
          <w:rFonts w:ascii="Arial" w:eastAsia="Calibri" w:hAnsi="Arial" w:cs="Arial"/>
          <w:sz w:val="20"/>
          <w:szCs w:val="20"/>
        </w:rPr>
      </w:pPr>
    </w:p>
    <w:p w:rsidR="00E0073C" w:rsidRPr="00E0073C" w:rsidRDefault="00E0073C" w:rsidP="00E0073C">
      <w:pPr>
        <w:pStyle w:val="Default"/>
        <w:rPr>
          <w:rFonts w:ascii="Arial" w:hAnsi="Arial" w:cs="Arial"/>
          <w:color w:val="auto"/>
          <w:sz w:val="20"/>
          <w:szCs w:val="20"/>
        </w:rPr>
      </w:pPr>
    </w:p>
    <w:sectPr w:rsidR="00E0073C" w:rsidRPr="00E0073C" w:rsidSect="00E85047">
      <w:headerReference w:type="default" r:id="rId8"/>
      <w:footerReference w:type="default" r:id="rId9"/>
      <w:pgSz w:w="12240" w:h="15840"/>
      <w:pgMar w:top="1170" w:right="1440" w:bottom="1080" w:left="1440" w:header="446" w:footer="40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FC0" w:rsidRDefault="00495FC0" w:rsidP="00A879F5">
      <w:r>
        <w:separator/>
      </w:r>
    </w:p>
  </w:endnote>
  <w:endnote w:type="continuationSeparator" w:id="0">
    <w:p w:rsidR="00495FC0" w:rsidRDefault="00495FC0" w:rsidP="00A87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18B" w:rsidRPr="00A879F5" w:rsidRDefault="0054618B" w:rsidP="00FA6C94">
    <w:pPr>
      <w:pStyle w:val="Footer"/>
      <w:tabs>
        <w:tab w:val="clear" w:pos="4320"/>
        <w:tab w:val="clear" w:pos="8640"/>
      </w:tabs>
      <w:jc w:val="center"/>
    </w:pPr>
    <w:r>
      <w:rPr>
        <w:noProof/>
      </w:rPr>
      <w:drawing>
        <wp:anchor distT="0" distB="0" distL="114300" distR="114300" simplePos="0" relativeHeight="251658240" behindDoc="0" locked="0" layoutInCell="1" allowOverlap="1">
          <wp:simplePos x="0" y="0"/>
          <wp:positionH relativeFrom="column">
            <wp:posOffset>-718185</wp:posOffset>
          </wp:positionH>
          <wp:positionV relativeFrom="paragraph">
            <wp:posOffset>5715</wp:posOffset>
          </wp:positionV>
          <wp:extent cx="7405200" cy="273461"/>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a:blip r:embed="rId1">
                    <a:extLst>
                      <a:ext uri="{28A0092B-C50C-407E-A947-70E740481C1C}">
                        <a14:useLocalDpi xmlns:a14="http://schemas.microsoft.com/office/drawing/2010/main" val="0"/>
                      </a:ext>
                    </a:extLst>
                  </a:blip>
                  <a:stretch>
                    <a:fillRect/>
                  </a:stretch>
                </pic:blipFill>
                <pic:spPr>
                  <a:xfrm>
                    <a:off x="0" y="0"/>
                    <a:ext cx="7405200" cy="273461"/>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FC0" w:rsidRDefault="00495FC0" w:rsidP="00A879F5">
      <w:r>
        <w:separator/>
      </w:r>
    </w:p>
  </w:footnote>
  <w:footnote w:type="continuationSeparator" w:id="0">
    <w:p w:rsidR="00495FC0" w:rsidRDefault="00495FC0" w:rsidP="00A87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18B" w:rsidRDefault="0054618B" w:rsidP="00FA6C94">
    <w:pPr>
      <w:pStyle w:val="Header"/>
      <w:tabs>
        <w:tab w:val="clear" w:pos="4320"/>
        <w:tab w:val="clear" w:pos="8640"/>
      </w:tabs>
      <w:jc w:val="center"/>
    </w:pPr>
    <w:r w:rsidRPr="00A879F5">
      <w:rPr>
        <w:noProof/>
        <w:vertAlign w:val="subscript"/>
      </w:rPr>
      <w:drawing>
        <wp:inline distT="0" distB="0" distL="0" distR="0" wp14:anchorId="500F0A66" wp14:editId="6C0EC617">
          <wp:extent cx="2401019" cy="3657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2408772" cy="36694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C47"/>
    <w:multiLevelType w:val="hybridMultilevel"/>
    <w:tmpl w:val="F44EE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07CF0"/>
    <w:multiLevelType w:val="hybridMultilevel"/>
    <w:tmpl w:val="C25A7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76691B"/>
    <w:multiLevelType w:val="hybridMultilevel"/>
    <w:tmpl w:val="F2D2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1433E0"/>
    <w:multiLevelType w:val="hybridMultilevel"/>
    <w:tmpl w:val="AF9C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A30CDA"/>
    <w:multiLevelType w:val="hybridMultilevel"/>
    <w:tmpl w:val="7E92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131E0"/>
    <w:multiLevelType w:val="hybridMultilevel"/>
    <w:tmpl w:val="359A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96C7F"/>
    <w:multiLevelType w:val="hybridMultilevel"/>
    <w:tmpl w:val="589E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862048"/>
    <w:multiLevelType w:val="hybridMultilevel"/>
    <w:tmpl w:val="36AE2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BD4248"/>
    <w:multiLevelType w:val="hybridMultilevel"/>
    <w:tmpl w:val="2F58C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AE4076"/>
    <w:multiLevelType w:val="multilevel"/>
    <w:tmpl w:val="80302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7BE2C8D"/>
    <w:multiLevelType w:val="hybridMultilevel"/>
    <w:tmpl w:val="A866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9B7EC6"/>
    <w:multiLevelType w:val="hybridMultilevel"/>
    <w:tmpl w:val="AF0A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41596F"/>
    <w:multiLevelType w:val="multilevel"/>
    <w:tmpl w:val="5E100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10"/>
  </w:num>
  <w:num w:numId="4">
    <w:abstractNumId w:val="1"/>
  </w:num>
  <w:num w:numId="5">
    <w:abstractNumId w:val="11"/>
  </w:num>
  <w:num w:numId="6">
    <w:abstractNumId w:val="0"/>
  </w:num>
  <w:num w:numId="7">
    <w:abstractNumId w:val="5"/>
  </w:num>
  <w:num w:numId="8">
    <w:abstractNumId w:val="3"/>
  </w:num>
  <w:num w:numId="9">
    <w:abstractNumId w:val="2"/>
  </w:num>
  <w:num w:numId="10">
    <w:abstractNumId w:val="6"/>
  </w:num>
  <w:num w:numId="11">
    <w:abstractNumId w:val="7"/>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9F5"/>
    <w:rsid w:val="00013124"/>
    <w:rsid w:val="00026746"/>
    <w:rsid w:val="00055129"/>
    <w:rsid w:val="00066871"/>
    <w:rsid w:val="00067B28"/>
    <w:rsid w:val="00073B18"/>
    <w:rsid w:val="000B2BF8"/>
    <w:rsid w:val="000D07AE"/>
    <w:rsid w:val="000F5D39"/>
    <w:rsid w:val="00111058"/>
    <w:rsid w:val="00122F39"/>
    <w:rsid w:val="00143F4F"/>
    <w:rsid w:val="001749BC"/>
    <w:rsid w:val="00185043"/>
    <w:rsid w:val="001B73EE"/>
    <w:rsid w:val="001E01B1"/>
    <w:rsid w:val="001F1EB3"/>
    <w:rsid w:val="001F39D5"/>
    <w:rsid w:val="0024252E"/>
    <w:rsid w:val="0025621A"/>
    <w:rsid w:val="00297B5E"/>
    <w:rsid w:val="002A6266"/>
    <w:rsid w:val="002B13F9"/>
    <w:rsid w:val="002F0A7E"/>
    <w:rsid w:val="0031136B"/>
    <w:rsid w:val="0035429E"/>
    <w:rsid w:val="00365C00"/>
    <w:rsid w:val="003664CB"/>
    <w:rsid w:val="003C416E"/>
    <w:rsid w:val="003E00D9"/>
    <w:rsid w:val="0041573A"/>
    <w:rsid w:val="00460CB5"/>
    <w:rsid w:val="00485BBC"/>
    <w:rsid w:val="004874B3"/>
    <w:rsid w:val="00487F9C"/>
    <w:rsid w:val="00493AE6"/>
    <w:rsid w:val="00495FC0"/>
    <w:rsid w:val="004D3074"/>
    <w:rsid w:val="00501B18"/>
    <w:rsid w:val="0051692D"/>
    <w:rsid w:val="0054618B"/>
    <w:rsid w:val="00546627"/>
    <w:rsid w:val="005615BE"/>
    <w:rsid w:val="005924D0"/>
    <w:rsid w:val="005C024B"/>
    <w:rsid w:val="006354B0"/>
    <w:rsid w:val="00652E8F"/>
    <w:rsid w:val="00683305"/>
    <w:rsid w:val="0068645D"/>
    <w:rsid w:val="006E29D5"/>
    <w:rsid w:val="006F2650"/>
    <w:rsid w:val="006F7296"/>
    <w:rsid w:val="00783298"/>
    <w:rsid w:val="00785207"/>
    <w:rsid w:val="007A6242"/>
    <w:rsid w:val="007E1FD5"/>
    <w:rsid w:val="00805BBD"/>
    <w:rsid w:val="0082287F"/>
    <w:rsid w:val="0085244C"/>
    <w:rsid w:val="008555A0"/>
    <w:rsid w:val="00856320"/>
    <w:rsid w:val="00863BD1"/>
    <w:rsid w:val="008843C5"/>
    <w:rsid w:val="008905F3"/>
    <w:rsid w:val="008C75BC"/>
    <w:rsid w:val="008D74D7"/>
    <w:rsid w:val="008D7FB9"/>
    <w:rsid w:val="008E4180"/>
    <w:rsid w:val="00926EB6"/>
    <w:rsid w:val="00930AD3"/>
    <w:rsid w:val="00937928"/>
    <w:rsid w:val="009420F5"/>
    <w:rsid w:val="009460B1"/>
    <w:rsid w:val="00950C2C"/>
    <w:rsid w:val="0095169A"/>
    <w:rsid w:val="009731A6"/>
    <w:rsid w:val="009A22B1"/>
    <w:rsid w:val="009C54A3"/>
    <w:rsid w:val="009C6E32"/>
    <w:rsid w:val="009D478A"/>
    <w:rsid w:val="009E50C0"/>
    <w:rsid w:val="009E7951"/>
    <w:rsid w:val="009F1430"/>
    <w:rsid w:val="009F5F6A"/>
    <w:rsid w:val="009F6463"/>
    <w:rsid w:val="00A513BA"/>
    <w:rsid w:val="00A62A73"/>
    <w:rsid w:val="00A75A64"/>
    <w:rsid w:val="00A879F5"/>
    <w:rsid w:val="00AA02C8"/>
    <w:rsid w:val="00AA245F"/>
    <w:rsid w:val="00AE47A7"/>
    <w:rsid w:val="00AF1686"/>
    <w:rsid w:val="00AF3434"/>
    <w:rsid w:val="00AF5AF2"/>
    <w:rsid w:val="00B31F9A"/>
    <w:rsid w:val="00B5304C"/>
    <w:rsid w:val="00B95CD9"/>
    <w:rsid w:val="00BA5559"/>
    <w:rsid w:val="00BC545F"/>
    <w:rsid w:val="00BE5C05"/>
    <w:rsid w:val="00C0261C"/>
    <w:rsid w:val="00C42730"/>
    <w:rsid w:val="00C77ED2"/>
    <w:rsid w:val="00C9079B"/>
    <w:rsid w:val="00C92AB0"/>
    <w:rsid w:val="00CA2088"/>
    <w:rsid w:val="00CB63AD"/>
    <w:rsid w:val="00CC17DD"/>
    <w:rsid w:val="00CC2191"/>
    <w:rsid w:val="00CE2799"/>
    <w:rsid w:val="00D01204"/>
    <w:rsid w:val="00D013A3"/>
    <w:rsid w:val="00D03EFF"/>
    <w:rsid w:val="00D87761"/>
    <w:rsid w:val="00DA607B"/>
    <w:rsid w:val="00E0073C"/>
    <w:rsid w:val="00E034EC"/>
    <w:rsid w:val="00E148B3"/>
    <w:rsid w:val="00E54EFD"/>
    <w:rsid w:val="00E57246"/>
    <w:rsid w:val="00E85047"/>
    <w:rsid w:val="00EB1031"/>
    <w:rsid w:val="00F14C3E"/>
    <w:rsid w:val="00F2752C"/>
    <w:rsid w:val="00F6571E"/>
    <w:rsid w:val="00F75A28"/>
    <w:rsid w:val="00F77210"/>
    <w:rsid w:val="00FA6C94"/>
    <w:rsid w:val="00FD6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3CACAF99-BDF5-4A75-AEDB-57DC2BDA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9F5"/>
    <w:pPr>
      <w:tabs>
        <w:tab w:val="center" w:pos="4320"/>
        <w:tab w:val="right" w:pos="8640"/>
      </w:tabs>
    </w:pPr>
  </w:style>
  <w:style w:type="character" w:customStyle="1" w:styleId="HeaderChar">
    <w:name w:val="Header Char"/>
    <w:basedOn w:val="DefaultParagraphFont"/>
    <w:link w:val="Header"/>
    <w:uiPriority w:val="99"/>
    <w:rsid w:val="00A879F5"/>
  </w:style>
  <w:style w:type="paragraph" w:styleId="Footer">
    <w:name w:val="footer"/>
    <w:basedOn w:val="Normal"/>
    <w:link w:val="FooterChar"/>
    <w:uiPriority w:val="99"/>
    <w:unhideWhenUsed/>
    <w:rsid w:val="00A879F5"/>
    <w:pPr>
      <w:tabs>
        <w:tab w:val="center" w:pos="4320"/>
        <w:tab w:val="right" w:pos="8640"/>
      </w:tabs>
    </w:pPr>
  </w:style>
  <w:style w:type="character" w:customStyle="1" w:styleId="FooterChar">
    <w:name w:val="Footer Char"/>
    <w:basedOn w:val="DefaultParagraphFont"/>
    <w:link w:val="Footer"/>
    <w:uiPriority w:val="99"/>
    <w:rsid w:val="00A879F5"/>
  </w:style>
  <w:style w:type="paragraph" w:styleId="BalloonText">
    <w:name w:val="Balloon Text"/>
    <w:basedOn w:val="Normal"/>
    <w:link w:val="BalloonTextChar"/>
    <w:uiPriority w:val="99"/>
    <w:semiHidden/>
    <w:unhideWhenUsed/>
    <w:rsid w:val="00A879F5"/>
    <w:rPr>
      <w:rFonts w:ascii="Lucida Grande" w:hAnsi="Lucida Grande"/>
      <w:sz w:val="18"/>
      <w:szCs w:val="18"/>
    </w:rPr>
  </w:style>
  <w:style w:type="character" w:customStyle="1" w:styleId="BalloonTextChar">
    <w:name w:val="Balloon Text Char"/>
    <w:basedOn w:val="DefaultParagraphFont"/>
    <w:link w:val="BalloonText"/>
    <w:uiPriority w:val="99"/>
    <w:semiHidden/>
    <w:rsid w:val="00A879F5"/>
    <w:rPr>
      <w:rFonts w:ascii="Lucida Grande" w:hAnsi="Lucida Grande"/>
      <w:sz w:val="18"/>
      <w:szCs w:val="18"/>
    </w:rPr>
  </w:style>
  <w:style w:type="paragraph" w:styleId="ListParagraph">
    <w:name w:val="List Paragraph"/>
    <w:basedOn w:val="Normal"/>
    <w:uiPriority w:val="34"/>
    <w:qFormat/>
    <w:rsid w:val="009F5F6A"/>
    <w:pPr>
      <w:ind w:left="720"/>
      <w:contextualSpacing/>
    </w:pPr>
  </w:style>
  <w:style w:type="character" w:customStyle="1" w:styleId="il">
    <w:name w:val="il"/>
    <w:basedOn w:val="DefaultParagraphFont"/>
    <w:rsid w:val="00FD6179"/>
  </w:style>
  <w:style w:type="paragraph" w:styleId="NormalWeb">
    <w:name w:val="Normal (Web)"/>
    <w:basedOn w:val="Normal"/>
    <w:uiPriority w:val="99"/>
    <w:unhideWhenUsed/>
    <w:rsid w:val="009D478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EB1031"/>
    <w:rPr>
      <w:color w:val="0000FF" w:themeColor="hyperlink"/>
      <w:u w:val="single"/>
    </w:rPr>
  </w:style>
  <w:style w:type="paragraph" w:customStyle="1" w:styleId="Default">
    <w:name w:val="Default"/>
    <w:rsid w:val="00E0073C"/>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361739">
      <w:bodyDiv w:val="1"/>
      <w:marLeft w:val="0"/>
      <w:marRight w:val="0"/>
      <w:marTop w:val="0"/>
      <w:marBottom w:val="0"/>
      <w:divBdr>
        <w:top w:val="none" w:sz="0" w:space="0" w:color="auto"/>
        <w:left w:val="none" w:sz="0" w:space="0" w:color="auto"/>
        <w:bottom w:val="none" w:sz="0" w:space="0" w:color="auto"/>
        <w:right w:val="none" w:sz="0" w:space="0" w:color="auto"/>
      </w:divBdr>
    </w:div>
    <w:div w:id="184222316">
      <w:bodyDiv w:val="1"/>
      <w:marLeft w:val="0"/>
      <w:marRight w:val="0"/>
      <w:marTop w:val="0"/>
      <w:marBottom w:val="0"/>
      <w:divBdr>
        <w:top w:val="none" w:sz="0" w:space="0" w:color="auto"/>
        <w:left w:val="none" w:sz="0" w:space="0" w:color="auto"/>
        <w:bottom w:val="none" w:sz="0" w:space="0" w:color="auto"/>
        <w:right w:val="none" w:sz="0" w:space="0" w:color="auto"/>
      </w:divBdr>
      <w:divsChild>
        <w:div w:id="1062216599">
          <w:marLeft w:val="0"/>
          <w:marRight w:val="0"/>
          <w:marTop w:val="0"/>
          <w:marBottom w:val="0"/>
          <w:divBdr>
            <w:top w:val="none" w:sz="0" w:space="0" w:color="auto"/>
            <w:left w:val="none" w:sz="0" w:space="0" w:color="auto"/>
            <w:bottom w:val="none" w:sz="0" w:space="0" w:color="auto"/>
            <w:right w:val="none" w:sz="0" w:space="0" w:color="auto"/>
          </w:divBdr>
        </w:div>
      </w:divsChild>
    </w:div>
    <w:div w:id="992946595">
      <w:bodyDiv w:val="1"/>
      <w:marLeft w:val="0"/>
      <w:marRight w:val="0"/>
      <w:marTop w:val="0"/>
      <w:marBottom w:val="0"/>
      <w:divBdr>
        <w:top w:val="none" w:sz="0" w:space="0" w:color="auto"/>
        <w:left w:val="none" w:sz="0" w:space="0" w:color="auto"/>
        <w:bottom w:val="none" w:sz="0" w:space="0" w:color="auto"/>
        <w:right w:val="none" w:sz="0" w:space="0" w:color="auto"/>
      </w:divBdr>
      <w:divsChild>
        <w:div w:id="1388341231">
          <w:marLeft w:val="0"/>
          <w:marRight w:val="0"/>
          <w:marTop w:val="0"/>
          <w:marBottom w:val="0"/>
          <w:divBdr>
            <w:top w:val="none" w:sz="0" w:space="0" w:color="auto"/>
            <w:left w:val="none" w:sz="0" w:space="0" w:color="auto"/>
            <w:bottom w:val="none" w:sz="0" w:space="0" w:color="auto"/>
            <w:right w:val="none" w:sz="0" w:space="0" w:color="auto"/>
          </w:divBdr>
        </w:div>
      </w:divsChild>
    </w:div>
    <w:div w:id="1473988466">
      <w:bodyDiv w:val="1"/>
      <w:marLeft w:val="0"/>
      <w:marRight w:val="0"/>
      <w:marTop w:val="0"/>
      <w:marBottom w:val="0"/>
      <w:divBdr>
        <w:top w:val="none" w:sz="0" w:space="0" w:color="auto"/>
        <w:left w:val="none" w:sz="0" w:space="0" w:color="auto"/>
        <w:bottom w:val="none" w:sz="0" w:space="0" w:color="auto"/>
        <w:right w:val="none" w:sz="0" w:space="0" w:color="auto"/>
      </w:divBdr>
      <w:divsChild>
        <w:div w:id="456023055">
          <w:marLeft w:val="0"/>
          <w:marRight w:val="0"/>
          <w:marTop w:val="0"/>
          <w:marBottom w:val="0"/>
          <w:divBdr>
            <w:top w:val="none" w:sz="0" w:space="0" w:color="auto"/>
            <w:left w:val="none" w:sz="0" w:space="0" w:color="auto"/>
            <w:bottom w:val="none" w:sz="0" w:space="0" w:color="auto"/>
            <w:right w:val="none" w:sz="0" w:space="0" w:color="auto"/>
          </w:divBdr>
        </w:div>
      </w:divsChild>
    </w:div>
    <w:div w:id="1704206214">
      <w:bodyDiv w:val="1"/>
      <w:marLeft w:val="0"/>
      <w:marRight w:val="0"/>
      <w:marTop w:val="0"/>
      <w:marBottom w:val="0"/>
      <w:divBdr>
        <w:top w:val="none" w:sz="0" w:space="0" w:color="auto"/>
        <w:left w:val="none" w:sz="0" w:space="0" w:color="auto"/>
        <w:bottom w:val="none" w:sz="0" w:space="0" w:color="auto"/>
        <w:right w:val="none" w:sz="0" w:space="0" w:color="auto"/>
      </w:divBdr>
    </w:div>
    <w:div w:id="1819034585">
      <w:bodyDiv w:val="1"/>
      <w:marLeft w:val="0"/>
      <w:marRight w:val="0"/>
      <w:marTop w:val="0"/>
      <w:marBottom w:val="0"/>
      <w:divBdr>
        <w:top w:val="none" w:sz="0" w:space="0" w:color="auto"/>
        <w:left w:val="none" w:sz="0" w:space="0" w:color="auto"/>
        <w:bottom w:val="none" w:sz="0" w:space="0" w:color="auto"/>
        <w:right w:val="none" w:sz="0" w:space="0" w:color="auto"/>
      </w:divBdr>
    </w:div>
    <w:div w:id="1862279610">
      <w:bodyDiv w:val="1"/>
      <w:marLeft w:val="0"/>
      <w:marRight w:val="0"/>
      <w:marTop w:val="0"/>
      <w:marBottom w:val="0"/>
      <w:divBdr>
        <w:top w:val="none" w:sz="0" w:space="0" w:color="auto"/>
        <w:left w:val="none" w:sz="0" w:space="0" w:color="auto"/>
        <w:bottom w:val="none" w:sz="0" w:space="0" w:color="auto"/>
        <w:right w:val="none" w:sz="0" w:space="0" w:color="auto"/>
      </w:divBdr>
      <w:divsChild>
        <w:div w:id="1091858462">
          <w:marLeft w:val="0"/>
          <w:marRight w:val="0"/>
          <w:marTop w:val="0"/>
          <w:marBottom w:val="0"/>
          <w:divBdr>
            <w:top w:val="none" w:sz="0" w:space="0" w:color="auto"/>
            <w:left w:val="none" w:sz="0" w:space="0" w:color="auto"/>
            <w:bottom w:val="none" w:sz="0" w:space="0" w:color="auto"/>
            <w:right w:val="none" w:sz="0" w:space="0" w:color="auto"/>
          </w:divBdr>
        </w:div>
      </w:divsChild>
    </w:div>
    <w:div w:id="1930890893">
      <w:bodyDiv w:val="1"/>
      <w:marLeft w:val="0"/>
      <w:marRight w:val="0"/>
      <w:marTop w:val="0"/>
      <w:marBottom w:val="0"/>
      <w:divBdr>
        <w:top w:val="none" w:sz="0" w:space="0" w:color="auto"/>
        <w:left w:val="none" w:sz="0" w:space="0" w:color="auto"/>
        <w:bottom w:val="none" w:sz="0" w:space="0" w:color="auto"/>
        <w:right w:val="none" w:sz="0" w:space="0" w:color="auto"/>
      </w:divBdr>
      <w:divsChild>
        <w:div w:id="815799974">
          <w:marLeft w:val="0"/>
          <w:marRight w:val="0"/>
          <w:marTop w:val="0"/>
          <w:marBottom w:val="0"/>
          <w:divBdr>
            <w:top w:val="none" w:sz="0" w:space="0" w:color="auto"/>
            <w:left w:val="none" w:sz="0" w:space="0" w:color="auto"/>
            <w:bottom w:val="none" w:sz="0" w:space="0" w:color="auto"/>
            <w:right w:val="none" w:sz="0" w:space="0" w:color="auto"/>
          </w:divBdr>
        </w:div>
        <w:div w:id="1712729106">
          <w:marLeft w:val="0"/>
          <w:marRight w:val="0"/>
          <w:marTop w:val="0"/>
          <w:marBottom w:val="0"/>
          <w:divBdr>
            <w:top w:val="none" w:sz="0" w:space="0" w:color="auto"/>
            <w:left w:val="none" w:sz="0" w:space="0" w:color="auto"/>
            <w:bottom w:val="none" w:sz="0" w:space="0" w:color="auto"/>
            <w:right w:val="none" w:sz="0" w:space="0" w:color="auto"/>
          </w:divBdr>
        </w:div>
        <w:div w:id="1126387642">
          <w:marLeft w:val="0"/>
          <w:marRight w:val="0"/>
          <w:marTop w:val="0"/>
          <w:marBottom w:val="0"/>
          <w:divBdr>
            <w:top w:val="none" w:sz="0" w:space="0" w:color="auto"/>
            <w:left w:val="none" w:sz="0" w:space="0" w:color="auto"/>
            <w:bottom w:val="none" w:sz="0" w:space="0" w:color="auto"/>
            <w:right w:val="none" w:sz="0" w:space="0" w:color="auto"/>
          </w:divBdr>
        </w:div>
        <w:div w:id="887107334">
          <w:marLeft w:val="0"/>
          <w:marRight w:val="0"/>
          <w:marTop w:val="0"/>
          <w:marBottom w:val="0"/>
          <w:divBdr>
            <w:top w:val="none" w:sz="0" w:space="0" w:color="auto"/>
            <w:left w:val="none" w:sz="0" w:space="0" w:color="auto"/>
            <w:bottom w:val="none" w:sz="0" w:space="0" w:color="auto"/>
            <w:right w:val="none" w:sz="0" w:space="0" w:color="auto"/>
          </w:divBdr>
        </w:div>
        <w:div w:id="2125149543">
          <w:marLeft w:val="0"/>
          <w:marRight w:val="0"/>
          <w:marTop w:val="0"/>
          <w:marBottom w:val="0"/>
          <w:divBdr>
            <w:top w:val="none" w:sz="0" w:space="0" w:color="auto"/>
            <w:left w:val="none" w:sz="0" w:space="0" w:color="auto"/>
            <w:bottom w:val="none" w:sz="0" w:space="0" w:color="auto"/>
            <w:right w:val="none" w:sz="0" w:space="0" w:color="auto"/>
          </w:divBdr>
        </w:div>
        <w:div w:id="1190292226">
          <w:marLeft w:val="0"/>
          <w:marRight w:val="0"/>
          <w:marTop w:val="0"/>
          <w:marBottom w:val="0"/>
          <w:divBdr>
            <w:top w:val="none" w:sz="0" w:space="0" w:color="auto"/>
            <w:left w:val="none" w:sz="0" w:space="0" w:color="auto"/>
            <w:bottom w:val="none" w:sz="0" w:space="0" w:color="auto"/>
            <w:right w:val="none" w:sz="0" w:space="0" w:color="auto"/>
          </w:divBdr>
        </w:div>
        <w:div w:id="1646737515">
          <w:marLeft w:val="0"/>
          <w:marRight w:val="0"/>
          <w:marTop w:val="0"/>
          <w:marBottom w:val="0"/>
          <w:divBdr>
            <w:top w:val="none" w:sz="0" w:space="0" w:color="auto"/>
            <w:left w:val="none" w:sz="0" w:space="0" w:color="auto"/>
            <w:bottom w:val="none" w:sz="0" w:space="0" w:color="auto"/>
            <w:right w:val="none" w:sz="0" w:space="0" w:color="auto"/>
          </w:divBdr>
        </w:div>
        <w:div w:id="185406088">
          <w:marLeft w:val="0"/>
          <w:marRight w:val="0"/>
          <w:marTop w:val="0"/>
          <w:marBottom w:val="0"/>
          <w:divBdr>
            <w:top w:val="none" w:sz="0" w:space="0" w:color="auto"/>
            <w:left w:val="none" w:sz="0" w:space="0" w:color="auto"/>
            <w:bottom w:val="none" w:sz="0" w:space="0" w:color="auto"/>
            <w:right w:val="none" w:sz="0" w:space="0" w:color="auto"/>
          </w:divBdr>
        </w:div>
        <w:div w:id="1740252181">
          <w:marLeft w:val="0"/>
          <w:marRight w:val="0"/>
          <w:marTop w:val="0"/>
          <w:marBottom w:val="0"/>
          <w:divBdr>
            <w:top w:val="none" w:sz="0" w:space="0" w:color="auto"/>
            <w:left w:val="none" w:sz="0" w:space="0" w:color="auto"/>
            <w:bottom w:val="none" w:sz="0" w:space="0" w:color="auto"/>
            <w:right w:val="none" w:sz="0" w:space="0" w:color="auto"/>
          </w:divBdr>
        </w:div>
        <w:div w:id="1152215217">
          <w:marLeft w:val="0"/>
          <w:marRight w:val="0"/>
          <w:marTop w:val="0"/>
          <w:marBottom w:val="0"/>
          <w:divBdr>
            <w:top w:val="none" w:sz="0" w:space="0" w:color="auto"/>
            <w:left w:val="none" w:sz="0" w:space="0" w:color="auto"/>
            <w:bottom w:val="none" w:sz="0" w:space="0" w:color="auto"/>
            <w:right w:val="none" w:sz="0" w:space="0" w:color="auto"/>
          </w:divBdr>
        </w:div>
        <w:div w:id="1848135474">
          <w:marLeft w:val="0"/>
          <w:marRight w:val="0"/>
          <w:marTop w:val="0"/>
          <w:marBottom w:val="0"/>
          <w:divBdr>
            <w:top w:val="none" w:sz="0" w:space="0" w:color="auto"/>
            <w:left w:val="none" w:sz="0" w:space="0" w:color="auto"/>
            <w:bottom w:val="none" w:sz="0" w:space="0" w:color="auto"/>
            <w:right w:val="none" w:sz="0" w:space="0" w:color="auto"/>
          </w:divBdr>
        </w:div>
        <w:div w:id="1054431961">
          <w:marLeft w:val="0"/>
          <w:marRight w:val="0"/>
          <w:marTop w:val="0"/>
          <w:marBottom w:val="0"/>
          <w:divBdr>
            <w:top w:val="none" w:sz="0" w:space="0" w:color="auto"/>
            <w:left w:val="none" w:sz="0" w:space="0" w:color="auto"/>
            <w:bottom w:val="none" w:sz="0" w:space="0" w:color="auto"/>
            <w:right w:val="none" w:sz="0" w:space="0" w:color="auto"/>
          </w:divBdr>
        </w:div>
        <w:div w:id="1429035474">
          <w:marLeft w:val="0"/>
          <w:marRight w:val="0"/>
          <w:marTop w:val="0"/>
          <w:marBottom w:val="0"/>
          <w:divBdr>
            <w:top w:val="none" w:sz="0" w:space="0" w:color="auto"/>
            <w:left w:val="none" w:sz="0" w:space="0" w:color="auto"/>
            <w:bottom w:val="none" w:sz="0" w:space="0" w:color="auto"/>
            <w:right w:val="none" w:sz="0" w:space="0" w:color="auto"/>
          </w:divBdr>
        </w:div>
        <w:div w:id="2030451830">
          <w:marLeft w:val="0"/>
          <w:marRight w:val="0"/>
          <w:marTop w:val="0"/>
          <w:marBottom w:val="0"/>
          <w:divBdr>
            <w:top w:val="none" w:sz="0" w:space="0" w:color="auto"/>
            <w:left w:val="none" w:sz="0" w:space="0" w:color="auto"/>
            <w:bottom w:val="none" w:sz="0" w:space="0" w:color="auto"/>
            <w:right w:val="none" w:sz="0" w:space="0" w:color="auto"/>
          </w:divBdr>
        </w:div>
        <w:div w:id="192118197">
          <w:marLeft w:val="0"/>
          <w:marRight w:val="0"/>
          <w:marTop w:val="0"/>
          <w:marBottom w:val="0"/>
          <w:divBdr>
            <w:top w:val="none" w:sz="0" w:space="0" w:color="auto"/>
            <w:left w:val="none" w:sz="0" w:space="0" w:color="auto"/>
            <w:bottom w:val="none" w:sz="0" w:space="0" w:color="auto"/>
            <w:right w:val="none" w:sz="0" w:space="0" w:color="auto"/>
          </w:divBdr>
        </w:div>
        <w:div w:id="591745633">
          <w:marLeft w:val="0"/>
          <w:marRight w:val="0"/>
          <w:marTop w:val="0"/>
          <w:marBottom w:val="0"/>
          <w:divBdr>
            <w:top w:val="none" w:sz="0" w:space="0" w:color="auto"/>
            <w:left w:val="none" w:sz="0" w:space="0" w:color="auto"/>
            <w:bottom w:val="none" w:sz="0" w:space="0" w:color="auto"/>
            <w:right w:val="none" w:sz="0" w:space="0" w:color="auto"/>
          </w:divBdr>
        </w:div>
        <w:div w:id="4064977">
          <w:marLeft w:val="0"/>
          <w:marRight w:val="0"/>
          <w:marTop w:val="0"/>
          <w:marBottom w:val="0"/>
          <w:divBdr>
            <w:top w:val="none" w:sz="0" w:space="0" w:color="auto"/>
            <w:left w:val="none" w:sz="0" w:space="0" w:color="auto"/>
            <w:bottom w:val="none" w:sz="0" w:space="0" w:color="auto"/>
            <w:right w:val="none" w:sz="0" w:space="0" w:color="auto"/>
          </w:divBdr>
        </w:div>
        <w:div w:id="335377384">
          <w:marLeft w:val="0"/>
          <w:marRight w:val="0"/>
          <w:marTop w:val="0"/>
          <w:marBottom w:val="0"/>
          <w:divBdr>
            <w:top w:val="none" w:sz="0" w:space="0" w:color="auto"/>
            <w:left w:val="none" w:sz="0" w:space="0" w:color="auto"/>
            <w:bottom w:val="none" w:sz="0" w:space="0" w:color="auto"/>
            <w:right w:val="none" w:sz="0" w:space="0" w:color="auto"/>
          </w:divBdr>
        </w:div>
        <w:div w:id="798953878">
          <w:marLeft w:val="0"/>
          <w:marRight w:val="0"/>
          <w:marTop w:val="0"/>
          <w:marBottom w:val="0"/>
          <w:divBdr>
            <w:top w:val="none" w:sz="0" w:space="0" w:color="auto"/>
            <w:left w:val="none" w:sz="0" w:space="0" w:color="auto"/>
            <w:bottom w:val="none" w:sz="0" w:space="0" w:color="auto"/>
            <w:right w:val="none" w:sz="0" w:space="0" w:color="auto"/>
          </w:divBdr>
        </w:div>
        <w:div w:id="665476274">
          <w:marLeft w:val="0"/>
          <w:marRight w:val="0"/>
          <w:marTop w:val="0"/>
          <w:marBottom w:val="0"/>
          <w:divBdr>
            <w:top w:val="none" w:sz="0" w:space="0" w:color="auto"/>
            <w:left w:val="none" w:sz="0" w:space="0" w:color="auto"/>
            <w:bottom w:val="none" w:sz="0" w:space="0" w:color="auto"/>
            <w:right w:val="none" w:sz="0" w:space="0" w:color="auto"/>
          </w:divBdr>
        </w:div>
        <w:div w:id="875315583">
          <w:marLeft w:val="0"/>
          <w:marRight w:val="0"/>
          <w:marTop w:val="0"/>
          <w:marBottom w:val="0"/>
          <w:divBdr>
            <w:top w:val="none" w:sz="0" w:space="0" w:color="auto"/>
            <w:left w:val="none" w:sz="0" w:space="0" w:color="auto"/>
            <w:bottom w:val="none" w:sz="0" w:space="0" w:color="auto"/>
            <w:right w:val="none" w:sz="0" w:space="0" w:color="auto"/>
          </w:divBdr>
        </w:div>
        <w:div w:id="842665957">
          <w:marLeft w:val="0"/>
          <w:marRight w:val="0"/>
          <w:marTop w:val="0"/>
          <w:marBottom w:val="0"/>
          <w:divBdr>
            <w:top w:val="none" w:sz="0" w:space="0" w:color="auto"/>
            <w:left w:val="none" w:sz="0" w:space="0" w:color="auto"/>
            <w:bottom w:val="none" w:sz="0" w:space="0" w:color="auto"/>
            <w:right w:val="none" w:sz="0" w:space="0" w:color="auto"/>
          </w:divBdr>
        </w:div>
        <w:div w:id="1459840801">
          <w:marLeft w:val="0"/>
          <w:marRight w:val="0"/>
          <w:marTop w:val="0"/>
          <w:marBottom w:val="0"/>
          <w:divBdr>
            <w:top w:val="none" w:sz="0" w:space="0" w:color="auto"/>
            <w:left w:val="none" w:sz="0" w:space="0" w:color="auto"/>
            <w:bottom w:val="none" w:sz="0" w:space="0" w:color="auto"/>
            <w:right w:val="none" w:sz="0" w:space="0" w:color="auto"/>
          </w:divBdr>
        </w:div>
      </w:divsChild>
    </w:div>
    <w:div w:id="21051772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K8 Design</Company>
  <LinksUpToDate>false</LinksUpToDate>
  <CharactersWithSpaces>3291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Dautrich</dc:creator>
  <cp:keywords/>
  <dc:description/>
  <cp:lastModifiedBy>Lisa Jaehnig</cp:lastModifiedBy>
  <cp:revision>3</cp:revision>
  <cp:lastPrinted>2019-06-17T17:06:00Z</cp:lastPrinted>
  <dcterms:created xsi:type="dcterms:W3CDTF">2019-11-13T20:27:00Z</dcterms:created>
  <dcterms:modified xsi:type="dcterms:W3CDTF">2019-11-13T20:28:00Z</dcterms:modified>
</cp:coreProperties>
</file>